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E9A1F" w14:textId="5647AEB1" w:rsidR="00962CBD" w:rsidRPr="006D409C" w:rsidRDefault="00962CBD" w:rsidP="00962CBD">
      <w:pPr>
        <w:pStyle w:val="Header"/>
        <w:tabs>
          <w:tab w:val="right" w:pos="9781"/>
          <w:tab w:val="right" w:pos="13323"/>
        </w:tabs>
        <w:spacing w:before="60" w:after="60"/>
        <w:outlineLvl w:val="0"/>
        <w:rPr>
          <w:rFonts w:cs="Arial"/>
          <w:b w:val="0"/>
          <w:sz w:val="24"/>
          <w:szCs w:val="24"/>
        </w:rPr>
      </w:pPr>
      <w:bookmarkStart w:id="0" w:name="Title"/>
      <w:bookmarkEnd w:id="0"/>
      <w:r w:rsidRPr="006D409C">
        <w:rPr>
          <w:rFonts w:cs="Arial"/>
          <w:sz w:val="24"/>
          <w:szCs w:val="24"/>
        </w:rPr>
        <w:t>3GPP TSG-RAN WG4 Meeting #110</w:t>
      </w:r>
      <w:r w:rsidRPr="006D409C">
        <w:rPr>
          <w:rFonts w:cs="Arial"/>
          <w:sz w:val="24"/>
          <w:szCs w:val="24"/>
        </w:rPr>
        <w:tab/>
      </w:r>
      <w:r w:rsidR="00335D4C" w:rsidRPr="00335D4C">
        <w:rPr>
          <w:rFonts w:cs="Arial"/>
          <w:sz w:val="24"/>
          <w:szCs w:val="24"/>
        </w:rPr>
        <w:t>R4-2400480</w:t>
      </w:r>
    </w:p>
    <w:p w14:paraId="00BB5768" w14:textId="77777777" w:rsidR="00962CBD" w:rsidRDefault="00962CBD" w:rsidP="00962CBD">
      <w:pPr>
        <w:pStyle w:val="Header"/>
        <w:tabs>
          <w:tab w:val="right" w:pos="9781"/>
          <w:tab w:val="right" w:pos="13323"/>
        </w:tabs>
        <w:spacing w:before="60" w:after="60"/>
        <w:outlineLvl w:val="0"/>
        <w:rPr>
          <w:rFonts w:cs="Arial"/>
          <w:sz w:val="24"/>
          <w:szCs w:val="24"/>
        </w:rPr>
      </w:pPr>
      <w:r w:rsidRPr="006D409C">
        <w:rPr>
          <w:rFonts w:cs="Arial"/>
          <w:sz w:val="24"/>
          <w:szCs w:val="24"/>
        </w:rPr>
        <w:t>Athens, GR, 26 Feb – 01 Mar, 2024</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3BB535F8"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1467D0">
        <w:rPr>
          <w:rFonts w:ascii="Arial" w:hAnsi="Arial" w:cs="Arial"/>
          <w:b/>
          <w:sz w:val="22"/>
          <w:szCs w:val="22"/>
        </w:rPr>
        <w:t>8</w:t>
      </w:r>
      <w:r w:rsidR="00E34C69">
        <w:rPr>
          <w:rFonts w:ascii="Arial" w:hAnsi="Arial" w:cs="Arial"/>
          <w:b/>
          <w:sz w:val="22"/>
          <w:szCs w:val="22"/>
        </w:rPr>
        <w:t>.</w:t>
      </w:r>
      <w:r w:rsidR="00962CBD">
        <w:rPr>
          <w:rFonts w:ascii="Arial" w:hAnsi="Arial" w:cs="Arial"/>
          <w:b/>
          <w:sz w:val="22"/>
          <w:szCs w:val="22"/>
        </w:rPr>
        <w:t>10</w:t>
      </w:r>
      <w:r w:rsidR="003115F6">
        <w:rPr>
          <w:rFonts w:ascii="Arial" w:hAnsi="Arial" w:cs="Arial"/>
          <w:b/>
          <w:sz w:val="22"/>
          <w:szCs w:val="22"/>
        </w:rPr>
        <w:t>.4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F779F9A"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26A4">
        <w:rPr>
          <w:rFonts w:ascii="Arial" w:hAnsi="Arial" w:cs="Arial"/>
          <w:b/>
          <w:sz w:val="22"/>
          <w:szCs w:val="22"/>
        </w:rPr>
        <w:t>On remaining issues</w:t>
      </w:r>
      <w:r w:rsidR="00F9569A" w:rsidRPr="00F9569A">
        <w:rPr>
          <w:rFonts w:ascii="Arial" w:hAnsi="Arial" w:cs="Arial"/>
          <w:b/>
          <w:sz w:val="22"/>
          <w:szCs w:val="22"/>
        </w:rPr>
        <w:t xml:space="preserve"> for </w:t>
      </w:r>
      <w:bookmarkStart w:id="2" w:name="OLE_LINK1"/>
      <w:bookmarkStart w:id="3" w:name="OLE_LINK2"/>
      <w:r w:rsidR="00F9569A" w:rsidRPr="00F9569A">
        <w:rPr>
          <w:rFonts w:ascii="Arial" w:hAnsi="Arial" w:cs="Arial"/>
          <w:b/>
          <w:sz w:val="22"/>
          <w:szCs w:val="22"/>
        </w:rPr>
        <w:t>spectrum less than 5MHz</w:t>
      </w:r>
      <w:bookmarkEnd w:id="2"/>
      <w:bookmarkEnd w:id="3"/>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864737B" w14:textId="64AC6DAB" w:rsidR="00061260" w:rsidRDefault="00E34C69" w:rsidP="00B06DCC">
      <w:pPr>
        <w:spacing w:after="120"/>
        <w:jc w:val="both"/>
      </w:pPr>
      <w:r>
        <w:t>In last RAN4 #</w:t>
      </w:r>
      <w:r w:rsidR="008726A4">
        <w:t>10</w:t>
      </w:r>
      <w:r w:rsidR="00962CBD">
        <w:t>9</w:t>
      </w:r>
      <w:r>
        <w:t xml:space="preserve"> meeting, t</w:t>
      </w:r>
      <w:r w:rsidR="00F9569A">
        <w:t xml:space="preserve">he </w:t>
      </w:r>
      <w:r>
        <w:t>WF</w:t>
      </w:r>
      <w:r w:rsidR="00F9569A">
        <w:t xml:space="preserve"> of </w:t>
      </w:r>
      <w:r w:rsidR="00F9569A" w:rsidRPr="00F9569A">
        <w:t>spectrum less than 5MHz</w:t>
      </w:r>
      <w:r w:rsidR="00F9569A">
        <w:t xml:space="preserve"> was agreed in [1</w:t>
      </w:r>
      <w:r w:rsidR="008D0AC1">
        <w:t xml:space="preserve">]. </w:t>
      </w:r>
      <w:r w:rsidR="00061260">
        <w:t xml:space="preserve">In this contribution, we </w:t>
      </w:r>
      <w:r w:rsidR="00852530">
        <w:t xml:space="preserve">continue </w:t>
      </w:r>
      <w:r w:rsidR="00061260">
        <w:t>discuss</w:t>
      </w:r>
      <w:r w:rsidR="00852530">
        <w:t>ion about</w:t>
      </w:r>
      <w:r w:rsidR="00061260">
        <w:t xml:space="preserve"> the RRM impacts for the spectrum less than 5MHz</w:t>
      </w:r>
      <w:r w:rsidR="00852530">
        <w:t>, mainly focusing on the remaining issues from last meeting</w:t>
      </w:r>
      <w:r w:rsidR="00973193">
        <w:t>, as well as the new LS from RAN1[2].</w:t>
      </w:r>
    </w:p>
    <w:p w14:paraId="7ADE0A8D" w14:textId="65047C9B" w:rsidR="003D5E81" w:rsidRDefault="006F3D26" w:rsidP="003D5E81">
      <w:pPr>
        <w:pStyle w:val="Heading1"/>
        <w:numPr>
          <w:ilvl w:val="0"/>
          <w:numId w:val="10"/>
        </w:numPr>
        <w:pBdr>
          <w:top w:val="single" w:sz="12" w:space="2" w:color="auto"/>
        </w:pBdr>
        <w:jc w:val="both"/>
        <w:rPr>
          <w:sz w:val="32"/>
        </w:rPr>
      </w:pPr>
      <w:r>
        <w:rPr>
          <w:sz w:val="32"/>
        </w:rPr>
        <w:t xml:space="preserve">Discussion </w:t>
      </w:r>
    </w:p>
    <w:p w14:paraId="61915A34" w14:textId="77777777" w:rsidR="00C7435A" w:rsidRDefault="00C7435A" w:rsidP="00C7435A">
      <w:pPr>
        <w:spacing w:after="120"/>
        <w:jc w:val="both"/>
        <w:rPr>
          <w:b/>
          <w:bCs/>
          <w:u w:val="single"/>
        </w:rPr>
      </w:pPr>
      <w:r w:rsidRPr="00C7435A">
        <w:rPr>
          <w:b/>
          <w:bCs/>
          <w:u w:val="single"/>
        </w:rPr>
        <w:t>Sub-topic 1-1 Applicability rules of RLM requirements</w:t>
      </w:r>
    </w:p>
    <w:p w14:paraId="37AC7BA5" w14:textId="764A7535" w:rsidR="00C7435A" w:rsidRPr="00C8580C" w:rsidRDefault="00C7435A" w:rsidP="00C7435A">
      <w:pPr>
        <w:spacing w:after="120"/>
        <w:jc w:val="both"/>
      </w:pPr>
      <w:r w:rsidRPr="00C8580C">
        <w:rPr>
          <w:rFonts w:hint="eastAsia"/>
        </w:rPr>
        <w:t>In last</w:t>
      </w:r>
      <w:r w:rsidRPr="00C8580C">
        <w:t xml:space="preserve"> </w:t>
      </w:r>
      <w:r w:rsidRPr="00C8580C">
        <w:rPr>
          <w:rFonts w:hint="eastAsia"/>
        </w:rPr>
        <w:t>RAN4</w:t>
      </w:r>
      <w:r w:rsidRPr="00C8580C">
        <w:t xml:space="preserve"> meeting, following of the RLM parameters were agreed:</w:t>
      </w:r>
    </w:p>
    <w:tbl>
      <w:tblPr>
        <w:tblStyle w:val="TableGrid"/>
        <w:tblW w:w="0" w:type="auto"/>
        <w:tblLook w:val="04A0" w:firstRow="1" w:lastRow="0" w:firstColumn="1" w:lastColumn="0" w:noHBand="0" w:noVBand="1"/>
      </w:tblPr>
      <w:tblGrid>
        <w:gridCol w:w="9629"/>
      </w:tblGrid>
      <w:tr w:rsidR="00C7435A" w14:paraId="26C73253" w14:textId="77777777" w:rsidTr="00C7435A">
        <w:tc>
          <w:tcPr>
            <w:tcW w:w="9629" w:type="dxa"/>
          </w:tcPr>
          <w:p w14:paraId="36A06F3B" w14:textId="77777777" w:rsidR="00C7435A" w:rsidRPr="00C7435A" w:rsidRDefault="00C7435A" w:rsidP="00C7435A">
            <w:pPr>
              <w:spacing w:after="0"/>
              <w:rPr>
                <w:sz w:val="20"/>
                <w:szCs w:val="20"/>
              </w:rPr>
            </w:pPr>
            <w:r w:rsidRPr="00C7435A">
              <w:rPr>
                <w:b/>
                <w:sz w:val="20"/>
                <w:szCs w:val="20"/>
              </w:rPr>
              <w:t>Agreement</w:t>
            </w:r>
            <w:r w:rsidRPr="00C7435A">
              <w:rPr>
                <w:sz w:val="20"/>
                <w:szCs w:val="20"/>
              </w:rPr>
              <w:t>:</w:t>
            </w:r>
          </w:p>
          <w:p w14:paraId="43D7EEEB" w14:textId="77777777" w:rsidR="00C7435A" w:rsidRPr="00C7435A" w:rsidRDefault="00C7435A" w:rsidP="00C7435A">
            <w:pPr>
              <w:pStyle w:val="TAL"/>
              <w:spacing w:after="0"/>
              <w:rPr>
                <w:rFonts w:ascii="Times New Roman" w:hAnsi="Times New Roman"/>
                <w:sz w:val="20"/>
                <w:szCs w:val="20"/>
              </w:rPr>
            </w:pPr>
            <w:r w:rsidRPr="00C7435A">
              <w:rPr>
                <w:rFonts w:ascii="Times New Roman" w:hAnsi="Times New Roman"/>
                <w:sz w:val="20"/>
                <w:szCs w:val="20"/>
              </w:rPr>
              <w:t>Table proposed in summary is agreeable with following changes:</w:t>
            </w:r>
          </w:p>
          <w:p w14:paraId="4DF587F5" w14:textId="77777777" w:rsidR="00C7435A" w:rsidRPr="00C7435A" w:rsidRDefault="00C7435A" w:rsidP="00C7435A">
            <w:pPr>
              <w:pStyle w:val="TAL"/>
              <w:numPr>
                <w:ilvl w:val="0"/>
                <w:numId w:val="62"/>
              </w:numPr>
              <w:spacing w:after="0"/>
              <w:rPr>
                <w:rFonts w:ascii="Times New Roman" w:hAnsi="Times New Roman"/>
                <w:sz w:val="20"/>
                <w:szCs w:val="20"/>
              </w:rPr>
            </w:pPr>
            <w:r w:rsidRPr="00C7435A">
              <w:rPr>
                <w:rFonts w:ascii="Times New Roman" w:hAnsi="Times New Roman"/>
                <w:sz w:val="20"/>
                <w:szCs w:val="20"/>
              </w:rPr>
              <w:t>Remove the 18 PRB option from the table.</w:t>
            </w:r>
          </w:p>
          <w:p w14:paraId="5F6DB2FF" w14:textId="77777777" w:rsidR="00C7435A" w:rsidRPr="00C7435A" w:rsidRDefault="00C7435A" w:rsidP="00C7435A">
            <w:pPr>
              <w:pStyle w:val="TAL"/>
              <w:numPr>
                <w:ilvl w:val="0"/>
                <w:numId w:val="62"/>
              </w:numPr>
              <w:spacing w:after="0"/>
              <w:rPr>
                <w:rFonts w:ascii="Times New Roman" w:hAnsi="Times New Roman"/>
                <w:sz w:val="20"/>
                <w:szCs w:val="20"/>
              </w:rPr>
            </w:pPr>
            <w:r w:rsidRPr="00C7435A">
              <w:rPr>
                <w:rFonts w:ascii="Times New Roman" w:hAnsi="Times New Roman"/>
                <w:sz w:val="20"/>
                <w:szCs w:val="20"/>
              </w:rPr>
              <w:t>Use distributed for 12 PRB, [non-distributed for 15 PRB], and 20 PRB is [distributed].</w:t>
            </w:r>
          </w:p>
          <w:p w14:paraId="0E78B72F" w14:textId="77777777" w:rsidR="00C7435A" w:rsidRPr="00C7435A" w:rsidRDefault="00C7435A" w:rsidP="00C7435A">
            <w:pPr>
              <w:pStyle w:val="TAL"/>
              <w:spacing w:after="0"/>
              <w:rPr>
                <w:rFonts w:ascii="Times New Roman" w:hAnsi="Times New Roman"/>
                <w:sz w:val="20"/>
                <w:szCs w:val="20"/>
              </w:rPr>
            </w:pPr>
          </w:p>
          <w:p w14:paraId="481831AF" w14:textId="77777777" w:rsidR="00C7435A" w:rsidRPr="00C7435A" w:rsidRDefault="00C7435A" w:rsidP="00C7435A">
            <w:pPr>
              <w:pStyle w:val="TH"/>
              <w:spacing w:before="0" w:after="0"/>
              <w:rPr>
                <w:rFonts w:ascii="Times New Roman" w:hAnsi="Times New Roman"/>
                <w:sz w:val="20"/>
                <w:szCs w:val="20"/>
              </w:rPr>
            </w:pPr>
            <w:r w:rsidRPr="00C7435A">
              <w:rPr>
                <w:rFonts w:ascii="Times New Roman" w:hAnsi="Times New Roman"/>
                <w:sz w:val="20"/>
                <w:szCs w:val="20"/>
              </w:rPr>
              <w:t>Table 8.1.2.1-3: PDCCH transmission parameters for out-of-sync evaluation for [less than 5MHz UE]</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2315"/>
              <w:gridCol w:w="2225"/>
              <w:gridCol w:w="90"/>
              <w:gridCol w:w="2315"/>
            </w:tblGrid>
            <w:tr w:rsidR="00C7435A" w:rsidRPr="00C7435A" w14:paraId="5C869E10" w14:textId="77777777" w:rsidTr="00CD4502">
              <w:trPr>
                <w:jc w:val="center"/>
              </w:trPr>
              <w:tc>
                <w:tcPr>
                  <w:tcW w:w="1307" w:type="pct"/>
                  <w:shd w:val="clear" w:color="auto" w:fill="auto"/>
                  <w:vAlign w:val="center"/>
                </w:tcPr>
                <w:p w14:paraId="6336D579" w14:textId="77777777" w:rsidR="00C7435A" w:rsidRPr="00C7435A" w:rsidRDefault="00C7435A" w:rsidP="00C7435A">
                  <w:pPr>
                    <w:pStyle w:val="TAH"/>
                    <w:rPr>
                      <w:rFonts w:ascii="Times New Roman" w:hAnsi="Times New Roman"/>
                      <w:sz w:val="20"/>
                      <w:szCs w:val="20"/>
                    </w:rPr>
                  </w:pPr>
                  <w:r w:rsidRPr="00C7435A">
                    <w:rPr>
                      <w:rFonts w:ascii="Times New Roman" w:hAnsi="Times New Roman"/>
                      <w:sz w:val="20"/>
                      <w:szCs w:val="20"/>
                    </w:rPr>
                    <w:t>Attribute</w:t>
                  </w:r>
                </w:p>
              </w:tc>
              <w:tc>
                <w:tcPr>
                  <w:tcW w:w="3693" w:type="pct"/>
                  <w:gridSpan w:val="4"/>
                  <w:shd w:val="clear" w:color="auto" w:fill="auto"/>
                  <w:vAlign w:val="center"/>
                </w:tcPr>
                <w:p w14:paraId="49A86710" w14:textId="77777777" w:rsidR="00C7435A" w:rsidRPr="00C7435A" w:rsidRDefault="00C7435A" w:rsidP="00C7435A">
                  <w:pPr>
                    <w:pStyle w:val="TAH"/>
                    <w:rPr>
                      <w:rFonts w:ascii="Times New Roman" w:eastAsia="?? ??" w:hAnsi="Times New Roman"/>
                      <w:sz w:val="20"/>
                      <w:szCs w:val="20"/>
                    </w:rPr>
                  </w:pPr>
                  <w:r w:rsidRPr="00C7435A">
                    <w:rPr>
                      <w:rFonts w:ascii="Times New Roman" w:eastAsia="?? ??" w:hAnsi="Times New Roman"/>
                      <w:sz w:val="20"/>
                      <w:szCs w:val="20"/>
                    </w:rPr>
                    <w:t>Value for BLER Configuration #0</w:t>
                  </w:r>
                </w:p>
              </w:tc>
            </w:tr>
            <w:tr w:rsidR="00C7435A" w:rsidRPr="00C7435A" w14:paraId="4CC0AD54" w14:textId="77777777" w:rsidTr="00CD4502">
              <w:trPr>
                <w:jc w:val="center"/>
              </w:trPr>
              <w:tc>
                <w:tcPr>
                  <w:tcW w:w="1307" w:type="pct"/>
                  <w:shd w:val="clear" w:color="auto" w:fill="auto"/>
                  <w:vAlign w:val="center"/>
                </w:tcPr>
                <w:p w14:paraId="336AB011" w14:textId="77777777" w:rsidR="00C7435A" w:rsidRPr="00C7435A" w:rsidRDefault="00C7435A" w:rsidP="00C7435A">
                  <w:pPr>
                    <w:pStyle w:val="TAH"/>
                    <w:rPr>
                      <w:rFonts w:ascii="Times New Roman" w:hAnsi="Times New Roman"/>
                      <w:sz w:val="20"/>
                      <w:szCs w:val="20"/>
                    </w:rPr>
                  </w:pPr>
                </w:p>
              </w:tc>
              <w:tc>
                <w:tcPr>
                  <w:tcW w:w="1230" w:type="pct"/>
                  <w:shd w:val="clear" w:color="auto" w:fill="auto"/>
                  <w:vAlign w:val="center"/>
                </w:tcPr>
                <w:p w14:paraId="1EF1575E" w14:textId="77777777" w:rsidR="00C7435A" w:rsidRPr="00C7435A" w:rsidRDefault="00C7435A" w:rsidP="00C7435A">
                  <w:pPr>
                    <w:pStyle w:val="TAH"/>
                    <w:rPr>
                      <w:rFonts w:ascii="Times New Roman" w:eastAsia="?? ??" w:hAnsi="Times New Roman"/>
                      <w:sz w:val="20"/>
                      <w:szCs w:val="20"/>
                      <w:lang w:val="fi-FI"/>
                    </w:rPr>
                  </w:pPr>
                  <w:r w:rsidRPr="00C7435A">
                    <w:rPr>
                      <w:rFonts w:ascii="Times New Roman" w:eastAsia="?? ??" w:hAnsi="Times New Roman"/>
                      <w:sz w:val="20"/>
                      <w:szCs w:val="20"/>
                      <w:lang w:val="fi-FI"/>
                    </w:rPr>
                    <w:t xml:space="preserve">3MHz (12 </w:t>
                  </w:r>
                  <w:proofErr w:type="spellStart"/>
                  <w:r w:rsidRPr="00C7435A">
                    <w:rPr>
                      <w:rFonts w:ascii="Times New Roman" w:eastAsia="?? ??" w:hAnsi="Times New Roman"/>
                      <w:sz w:val="20"/>
                      <w:szCs w:val="20"/>
                      <w:lang w:val="fi-FI"/>
                    </w:rPr>
                    <w:t>PRBs</w:t>
                  </w:r>
                  <w:proofErr w:type="spellEnd"/>
                  <w:r w:rsidRPr="00C7435A">
                    <w:rPr>
                      <w:rFonts w:ascii="Times New Roman" w:eastAsia="?? ??" w:hAnsi="Times New Roman"/>
                      <w:sz w:val="20"/>
                      <w:szCs w:val="20"/>
                      <w:lang w:val="fi-FI"/>
                    </w:rPr>
                    <w:t>)</w:t>
                  </w:r>
                </w:p>
              </w:tc>
              <w:tc>
                <w:tcPr>
                  <w:tcW w:w="1183" w:type="pct"/>
                  <w:shd w:val="clear" w:color="auto" w:fill="auto"/>
                  <w:vAlign w:val="center"/>
                </w:tcPr>
                <w:p w14:paraId="2BB166CC" w14:textId="77777777" w:rsidR="00C7435A" w:rsidRPr="00C7435A" w:rsidRDefault="00C7435A" w:rsidP="00C7435A">
                  <w:pPr>
                    <w:pStyle w:val="TAH"/>
                    <w:rPr>
                      <w:rFonts w:ascii="Times New Roman" w:eastAsia="?? ??" w:hAnsi="Times New Roman"/>
                      <w:sz w:val="20"/>
                      <w:szCs w:val="20"/>
                      <w:lang w:val="fi-FI"/>
                    </w:rPr>
                  </w:pPr>
                  <w:r w:rsidRPr="00C7435A">
                    <w:rPr>
                      <w:rFonts w:ascii="Times New Roman" w:eastAsia="?? ??" w:hAnsi="Times New Roman"/>
                      <w:sz w:val="20"/>
                      <w:szCs w:val="20"/>
                      <w:lang w:val="fi-FI"/>
                    </w:rPr>
                    <w:t xml:space="preserve">3MHz (15 </w:t>
                  </w:r>
                  <w:proofErr w:type="spellStart"/>
                  <w:r w:rsidRPr="00C7435A">
                    <w:rPr>
                      <w:rFonts w:ascii="Times New Roman" w:eastAsia="?? ??" w:hAnsi="Times New Roman"/>
                      <w:sz w:val="20"/>
                      <w:szCs w:val="20"/>
                      <w:lang w:val="fi-FI"/>
                    </w:rPr>
                    <w:t>PRBs</w:t>
                  </w:r>
                  <w:proofErr w:type="spellEnd"/>
                  <w:r w:rsidRPr="00C7435A">
                    <w:rPr>
                      <w:rFonts w:ascii="Times New Roman" w:eastAsia="?? ??" w:hAnsi="Times New Roman"/>
                      <w:sz w:val="20"/>
                      <w:szCs w:val="20"/>
                      <w:lang w:val="fi-FI"/>
                    </w:rPr>
                    <w:t>)</w:t>
                  </w:r>
                </w:p>
              </w:tc>
              <w:tc>
                <w:tcPr>
                  <w:tcW w:w="1280" w:type="pct"/>
                  <w:gridSpan w:val="2"/>
                </w:tcPr>
                <w:p w14:paraId="4FC17C0C" w14:textId="77777777" w:rsidR="00C7435A" w:rsidRPr="00C7435A" w:rsidRDefault="00C7435A" w:rsidP="00C7435A">
                  <w:pPr>
                    <w:pStyle w:val="TAH"/>
                    <w:rPr>
                      <w:rFonts w:ascii="Times New Roman" w:eastAsia="?? ??" w:hAnsi="Times New Roman"/>
                      <w:sz w:val="20"/>
                      <w:szCs w:val="20"/>
                      <w:lang w:val="fi-FI"/>
                    </w:rPr>
                  </w:pPr>
                  <w:r w:rsidRPr="00C7435A">
                    <w:rPr>
                      <w:rFonts w:ascii="Times New Roman" w:eastAsia="?? ??" w:hAnsi="Times New Roman"/>
                      <w:sz w:val="20"/>
                      <w:szCs w:val="20"/>
                      <w:lang w:val="fi-FI"/>
                    </w:rPr>
                    <w:t xml:space="preserve">5MHz (20 </w:t>
                  </w:r>
                  <w:proofErr w:type="spellStart"/>
                  <w:r w:rsidRPr="00C7435A">
                    <w:rPr>
                      <w:rFonts w:ascii="Times New Roman" w:eastAsia="?? ??" w:hAnsi="Times New Roman"/>
                      <w:sz w:val="20"/>
                      <w:szCs w:val="20"/>
                      <w:lang w:val="fi-FI"/>
                    </w:rPr>
                    <w:t>PRBs</w:t>
                  </w:r>
                  <w:proofErr w:type="spellEnd"/>
                  <w:r w:rsidRPr="00C7435A">
                    <w:rPr>
                      <w:rFonts w:ascii="Times New Roman" w:eastAsia="?? ??" w:hAnsi="Times New Roman"/>
                      <w:sz w:val="20"/>
                      <w:szCs w:val="20"/>
                      <w:lang w:val="fi-FI"/>
                    </w:rPr>
                    <w:t>)</w:t>
                  </w:r>
                </w:p>
              </w:tc>
            </w:tr>
            <w:tr w:rsidR="00C7435A" w:rsidRPr="00C7435A" w14:paraId="4ED1316A" w14:textId="77777777" w:rsidTr="00CD4502">
              <w:trPr>
                <w:trHeight w:val="201"/>
                <w:jc w:val="center"/>
              </w:trPr>
              <w:tc>
                <w:tcPr>
                  <w:tcW w:w="1307" w:type="pct"/>
                  <w:shd w:val="clear" w:color="auto" w:fill="auto"/>
                  <w:vAlign w:val="center"/>
                </w:tcPr>
                <w:p w14:paraId="16C6489C"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DCI format</w:t>
                  </w:r>
                </w:p>
              </w:tc>
              <w:tc>
                <w:tcPr>
                  <w:tcW w:w="3693" w:type="pct"/>
                  <w:gridSpan w:val="4"/>
                  <w:shd w:val="clear" w:color="auto" w:fill="auto"/>
                  <w:vAlign w:val="center"/>
                </w:tcPr>
                <w:p w14:paraId="4FDC3B06"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1-0</w:t>
                  </w:r>
                </w:p>
              </w:tc>
            </w:tr>
            <w:tr w:rsidR="00C7435A" w:rsidRPr="00C7435A" w14:paraId="3ABA85A4" w14:textId="77777777" w:rsidTr="00CD4502">
              <w:trPr>
                <w:jc w:val="center"/>
              </w:trPr>
              <w:tc>
                <w:tcPr>
                  <w:tcW w:w="1307" w:type="pct"/>
                  <w:shd w:val="clear" w:color="auto" w:fill="auto"/>
                  <w:vAlign w:val="center"/>
                </w:tcPr>
                <w:p w14:paraId="4A61A059"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 xml:space="preserve">Number of </w:t>
                  </w:r>
                  <w:proofErr w:type="gramStart"/>
                  <w:r w:rsidRPr="00C7435A">
                    <w:rPr>
                      <w:rFonts w:ascii="Times New Roman" w:hAnsi="Times New Roman"/>
                      <w:sz w:val="20"/>
                      <w:szCs w:val="20"/>
                    </w:rPr>
                    <w:t>control</w:t>
                  </w:r>
                  <w:proofErr w:type="gramEnd"/>
                  <w:r w:rsidRPr="00C7435A">
                    <w:rPr>
                      <w:rFonts w:ascii="Times New Roman" w:hAnsi="Times New Roman"/>
                      <w:sz w:val="20"/>
                      <w:szCs w:val="20"/>
                    </w:rPr>
                    <w:t xml:space="preserve"> OFDM symbols</w:t>
                  </w:r>
                </w:p>
              </w:tc>
              <w:tc>
                <w:tcPr>
                  <w:tcW w:w="1230" w:type="pct"/>
                  <w:shd w:val="clear" w:color="auto" w:fill="auto"/>
                  <w:vAlign w:val="center"/>
                </w:tcPr>
                <w:p w14:paraId="1E51654E" w14:textId="77777777" w:rsidR="00C7435A" w:rsidRPr="00C7435A" w:rsidRDefault="00C7435A" w:rsidP="00C7435A">
                  <w:pPr>
                    <w:pStyle w:val="TAC"/>
                    <w:ind w:firstLine="400"/>
                    <w:rPr>
                      <w:rFonts w:ascii="Times New Roman" w:hAnsi="Times New Roman"/>
                      <w:sz w:val="20"/>
                      <w:szCs w:val="20"/>
                      <w:lang w:val="fi-FI"/>
                    </w:rPr>
                  </w:pPr>
                  <w:r w:rsidRPr="00C7435A">
                    <w:rPr>
                      <w:rFonts w:ascii="Times New Roman" w:hAnsi="Times New Roman"/>
                      <w:sz w:val="20"/>
                      <w:szCs w:val="20"/>
                    </w:rPr>
                    <w:t>[2]</w:t>
                  </w:r>
                </w:p>
              </w:tc>
              <w:tc>
                <w:tcPr>
                  <w:tcW w:w="1183" w:type="pct"/>
                  <w:shd w:val="clear" w:color="auto" w:fill="auto"/>
                  <w:vAlign w:val="center"/>
                </w:tcPr>
                <w:p w14:paraId="33A81530" w14:textId="77777777" w:rsidR="00C7435A" w:rsidRPr="00C7435A" w:rsidRDefault="00C7435A" w:rsidP="00C7435A">
                  <w:pPr>
                    <w:pStyle w:val="TAC"/>
                    <w:ind w:firstLine="400"/>
                    <w:rPr>
                      <w:rFonts w:ascii="Times New Roman" w:hAnsi="Times New Roman"/>
                      <w:sz w:val="20"/>
                      <w:szCs w:val="20"/>
                      <w:lang w:val="de-DE"/>
                    </w:rPr>
                  </w:pPr>
                  <w:r w:rsidRPr="00C7435A">
                    <w:rPr>
                      <w:rFonts w:ascii="Times New Roman" w:hAnsi="Times New Roman"/>
                      <w:sz w:val="20"/>
                      <w:szCs w:val="20"/>
                      <w:lang w:val="de-DE"/>
                    </w:rPr>
                    <w:t>[3]</w:t>
                  </w:r>
                </w:p>
              </w:tc>
              <w:tc>
                <w:tcPr>
                  <w:tcW w:w="1280" w:type="pct"/>
                  <w:gridSpan w:val="2"/>
                </w:tcPr>
                <w:p w14:paraId="5241A096" w14:textId="77777777" w:rsidR="00C7435A" w:rsidRPr="00C7435A" w:rsidRDefault="00C7435A" w:rsidP="00C7435A">
                  <w:pPr>
                    <w:pStyle w:val="TAC"/>
                    <w:ind w:firstLine="400"/>
                    <w:rPr>
                      <w:rFonts w:ascii="Times New Roman" w:hAnsi="Times New Roman"/>
                      <w:sz w:val="20"/>
                      <w:szCs w:val="20"/>
                      <w:lang w:val="de-DE"/>
                    </w:rPr>
                  </w:pPr>
                  <w:r w:rsidRPr="00C7435A">
                    <w:rPr>
                      <w:rFonts w:ascii="Times New Roman" w:hAnsi="Times New Roman"/>
                      <w:sz w:val="20"/>
                      <w:szCs w:val="20"/>
                      <w:lang w:val="de-DE"/>
                    </w:rPr>
                    <w:t>[3]</w:t>
                  </w:r>
                </w:p>
              </w:tc>
            </w:tr>
            <w:tr w:rsidR="00C7435A" w:rsidRPr="00C7435A" w14:paraId="24747316" w14:textId="77777777" w:rsidTr="00CD4502">
              <w:trPr>
                <w:jc w:val="center"/>
              </w:trPr>
              <w:tc>
                <w:tcPr>
                  <w:tcW w:w="1307" w:type="pct"/>
                  <w:shd w:val="clear" w:color="auto" w:fill="auto"/>
                  <w:vAlign w:val="center"/>
                </w:tcPr>
                <w:p w14:paraId="20A5B4AE"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Aggregation level (CCE)</w:t>
                  </w:r>
                </w:p>
              </w:tc>
              <w:tc>
                <w:tcPr>
                  <w:tcW w:w="1230" w:type="pct"/>
                  <w:shd w:val="clear" w:color="auto" w:fill="auto"/>
                  <w:vAlign w:val="center"/>
                </w:tcPr>
                <w:p w14:paraId="1011315C" w14:textId="77777777" w:rsidR="00C7435A" w:rsidRPr="00C7435A" w:rsidRDefault="00C7435A" w:rsidP="00C7435A">
                  <w:pPr>
                    <w:pStyle w:val="TAC"/>
                    <w:ind w:firstLine="400"/>
                    <w:rPr>
                      <w:rFonts w:ascii="Times New Roman" w:hAnsi="Times New Roman"/>
                      <w:sz w:val="20"/>
                      <w:szCs w:val="20"/>
                      <w:lang w:val="fi-FI"/>
                    </w:rPr>
                  </w:pPr>
                  <w:r w:rsidRPr="00C7435A">
                    <w:rPr>
                      <w:rFonts w:ascii="Times New Roman" w:hAnsi="Times New Roman"/>
                      <w:sz w:val="20"/>
                      <w:szCs w:val="20"/>
                    </w:rPr>
                    <w:t>[4]</w:t>
                  </w:r>
                </w:p>
              </w:tc>
              <w:tc>
                <w:tcPr>
                  <w:tcW w:w="1183" w:type="pct"/>
                  <w:shd w:val="clear" w:color="auto" w:fill="auto"/>
                  <w:vAlign w:val="center"/>
                </w:tcPr>
                <w:p w14:paraId="7E9F4819"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[8]</w:t>
                  </w:r>
                </w:p>
              </w:tc>
              <w:tc>
                <w:tcPr>
                  <w:tcW w:w="1280" w:type="pct"/>
                  <w:gridSpan w:val="2"/>
                </w:tcPr>
                <w:p w14:paraId="3F9DD155" w14:textId="77777777" w:rsidR="00C7435A" w:rsidRPr="00C7435A" w:rsidRDefault="00C7435A" w:rsidP="00C7435A">
                  <w:pPr>
                    <w:pStyle w:val="TAC"/>
                    <w:ind w:firstLine="400"/>
                    <w:rPr>
                      <w:rFonts w:ascii="Times New Roman" w:hAnsi="Times New Roman"/>
                      <w:sz w:val="20"/>
                      <w:szCs w:val="20"/>
                      <w:lang w:val="fi-FI"/>
                    </w:rPr>
                  </w:pPr>
                  <w:r w:rsidRPr="00C7435A">
                    <w:rPr>
                      <w:rFonts w:ascii="Times New Roman" w:hAnsi="Times New Roman"/>
                      <w:sz w:val="20"/>
                      <w:szCs w:val="20"/>
                      <w:lang w:val="fi-FI"/>
                    </w:rPr>
                    <w:t>[8]</w:t>
                  </w:r>
                </w:p>
              </w:tc>
            </w:tr>
            <w:tr w:rsidR="00C7435A" w:rsidRPr="00C7435A" w14:paraId="67D6012D" w14:textId="77777777" w:rsidTr="00CD4502">
              <w:trPr>
                <w:jc w:val="center"/>
              </w:trPr>
              <w:tc>
                <w:tcPr>
                  <w:tcW w:w="1307" w:type="pct"/>
                  <w:shd w:val="clear" w:color="auto" w:fill="auto"/>
                  <w:vAlign w:val="center"/>
                </w:tcPr>
                <w:p w14:paraId="226FD83A"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Ratio of hypothetical PDCCH RE energy to average SSS RE energy</w:t>
                  </w:r>
                </w:p>
              </w:tc>
              <w:tc>
                <w:tcPr>
                  <w:tcW w:w="3693" w:type="pct"/>
                  <w:gridSpan w:val="4"/>
                  <w:shd w:val="clear" w:color="auto" w:fill="auto"/>
                  <w:vAlign w:val="center"/>
                </w:tcPr>
                <w:p w14:paraId="37C6FC9E"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4dB</w:t>
                  </w:r>
                </w:p>
              </w:tc>
            </w:tr>
            <w:tr w:rsidR="00C7435A" w:rsidRPr="00C7435A" w14:paraId="38D2C2ED" w14:textId="77777777" w:rsidTr="00CD4502">
              <w:trPr>
                <w:jc w:val="center"/>
              </w:trPr>
              <w:tc>
                <w:tcPr>
                  <w:tcW w:w="1307" w:type="pct"/>
                  <w:shd w:val="clear" w:color="auto" w:fill="auto"/>
                  <w:vAlign w:val="center"/>
                </w:tcPr>
                <w:p w14:paraId="17F81C01"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Ratio of hypothetical PDCCH DMRS energy to average SSS RE energy</w:t>
                  </w:r>
                </w:p>
              </w:tc>
              <w:tc>
                <w:tcPr>
                  <w:tcW w:w="3693" w:type="pct"/>
                  <w:gridSpan w:val="4"/>
                  <w:shd w:val="clear" w:color="auto" w:fill="auto"/>
                  <w:vAlign w:val="center"/>
                </w:tcPr>
                <w:p w14:paraId="2457011F"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4dB</w:t>
                  </w:r>
                </w:p>
              </w:tc>
            </w:tr>
            <w:tr w:rsidR="00C7435A" w:rsidRPr="00C7435A" w14:paraId="7FA90095" w14:textId="77777777" w:rsidTr="00CD4502">
              <w:trPr>
                <w:jc w:val="center"/>
              </w:trPr>
              <w:tc>
                <w:tcPr>
                  <w:tcW w:w="1307" w:type="pct"/>
                  <w:shd w:val="clear" w:color="auto" w:fill="auto"/>
                  <w:vAlign w:val="center"/>
                </w:tcPr>
                <w:p w14:paraId="088CCE93"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Bandwidth (PRBs)</w:t>
                  </w:r>
                </w:p>
              </w:tc>
              <w:tc>
                <w:tcPr>
                  <w:tcW w:w="1230" w:type="pct"/>
                  <w:shd w:val="clear" w:color="auto" w:fill="auto"/>
                  <w:vAlign w:val="center"/>
                </w:tcPr>
                <w:p w14:paraId="1CDD9407" w14:textId="77777777" w:rsidR="00C7435A" w:rsidRPr="00C7435A" w:rsidRDefault="00C7435A" w:rsidP="00C7435A">
                  <w:pPr>
                    <w:pStyle w:val="TAC"/>
                    <w:ind w:firstLine="400"/>
                    <w:rPr>
                      <w:rFonts w:ascii="Times New Roman" w:hAnsi="Times New Roman"/>
                      <w:sz w:val="20"/>
                      <w:szCs w:val="20"/>
                      <w:lang w:val="fi-FI"/>
                    </w:rPr>
                  </w:pPr>
                  <w:r w:rsidRPr="00C7435A">
                    <w:rPr>
                      <w:rFonts w:ascii="Times New Roman" w:hAnsi="Times New Roman"/>
                      <w:sz w:val="20"/>
                      <w:szCs w:val="20"/>
                    </w:rPr>
                    <w:t>12</w:t>
                  </w:r>
                </w:p>
              </w:tc>
              <w:tc>
                <w:tcPr>
                  <w:tcW w:w="1183" w:type="pct"/>
                  <w:shd w:val="clear" w:color="auto" w:fill="auto"/>
                  <w:vAlign w:val="center"/>
                </w:tcPr>
                <w:p w14:paraId="7B8493FA"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15</w:t>
                  </w:r>
                </w:p>
              </w:tc>
              <w:tc>
                <w:tcPr>
                  <w:tcW w:w="1280" w:type="pct"/>
                  <w:gridSpan w:val="2"/>
                </w:tcPr>
                <w:p w14:paraId="282DC9F2" w14:textId="77777777" w:rsidR="00C7435A" w:rsidRPr="00C7435A" w:rsidRDefault="00C7435A" w:rsidP="00C7435A">
                  <w:pPr>
                    <w:pStyle w:val="TAC"/>
                    <w:ind w:firstLine="400"/>
                    <w:rPr>
                      <w:rFonts w:ascii="Times New Roman" w:hAnsi="Times New Roman"/>
                      <w:sz w:val="20"/>
                      <w:szCs w:val="20"/>
                      <w:lang w:val="fi-FI"/>
                    </w:rPr>
                  </w:pPr>
                  <w:r w:rsidRPr="00C7435A">
                    <w:rPr>
                      <w:rFonts w:ascii="Times New Roman" w:hAnsi="Times New Roman"/>
                      <w:sz w:val="20"/>
                      <w:szCs w:val="20"/>
                      <w:lang w:val="fi-FI"/>
                    </w:rPr>
                    <w:t>20</w:t>
                  </w:r>
                </w:p>
              </w:tc>
            </w:tr>
            <w:tr w:rsidR="00C7435A" w:rsidRPr="00C7435A" w14:paraId="48C5D4E8" w14:textId="77777777" w:rsidTr="00CD4502">
              <w:trPr>
                <w:jc w:val="center"/>
              </w:trPr>
              <w:tc>
                <w:tcPr>
                  <w:tcW w:w="1307" w:type="pct"/>
                  <w:shd w:val="clear" w:color="auto" w:fill="auto"/>
                  <w:vAlign w:val="center"/>
                </w:tcPr>
                <w:p w14:paraId="118852C3"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Sub-carrier spacing (kHz)</w:t>
                  </w:r>
                </w:p>
              </w:tc>
              <w:tc>
                <w:tcPr>
                  <w:tcW w:w="3693" w:type="pct"/>
                  <w:gridSpan w:val="4"/>
                  <w:shd w:val="clear" w:color="auto" w:fill="auto"/>
                  <w:vAlign w:val="center"/>
                </w:tcPr>
                <w:p w14:paraId="35DBB544"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SCS of the active DL BWP</w:t>
                  </w:r>
                </w:p>
              </w:tc>
            </w:tr>
            <w:tr w:rsidR="00C7435A" w:rsidRPr="00C7435A" w14:paraId="2CE2F6AA" w14:textId="77777777" w:rsidTr="00CD4502">
              <w:trPr>
                <w:jc w:val="center"/>
              </w:trPr>
              <w:tc>
                <w:tcPr>
                  <w:tcW w:w="1307" w:type="pct"/>
                  <w:shd w:val="clear" w:color="auto" w:fill="auto"/>
                  <w:vAlign w:val="center"/>
                </w:tcPr>
                <w:p w14:paraId="6885B500"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DMRS precoder granularity</w:t>
                  </w:r>
                </w:p>
              </w:tc>
              <w:tc>
                <w:tcPr>
                  <w:tcW w:w="3693" w:type="pct"/>
                  <w:gridSpan w:val="4"/>
                  <w:shd w:val="clear" w:color="auto" w:fill="auto"/>
                  <w:vAlign w:val="center"/>
                </w:tcPr>
                <w:p w14:paraId="6C7DB057"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REG bundle size</w:t>
                  </w:r>
                </w:p>
              </w:tc>
            </w:tr>
            <w:tr w:rsidR="00C7435A" w:rsidRPr="00C7435A" w14:paraId="07241605" w14:textId="77777777" w:rsidTr="00CD4502">
              <w:trPr>
                <w:jc w:val="center"/>
              </w:trPr>
              <w:tc>
                <w:tcPr>
                  <w:tcW w:w="1307" w:type="pct"/>
                  <w:shd w:val="clear" w:color="auto" w:fill="auto"/>
                  <w:vAlign w:val="center"/>
                </w:tcPr>
                <w:p w14:paraId="1A1D9161"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REG bundle size</w:t>
                  </w:r>
                </w:p>
              </w:tc>
              <w:tc>
                <w:tcPr>
                  <w:tcW w:w="3693" w:type="pct"/>
                  <w:gridSpan w:val="4"/>
                  <w:shd w:val="clear" w:color="auto" w:fill="auto"/>
                  <w:vAlign w:val="center"/>
                </w:tcPr>
                <w:p w14:paraId="7B5F03DC"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6</w:t>
                  </w:r>
                </w:p>
              </w:tc>
            </w:tr>
            <w:tr w:rsidR="00C7435A" w:rsidRPr="00C7435A" w14:paraId="3AC5C3C5" w14:textId="77777777" w:rsidTr="00CD4502">
              <w:trPr>
                <w:jc w:val="center"/>
              </w:trPr>
              <w:tc>
                <w:tcPr>
                  <w:tcW w:w="1307" w:type="pct"/>
                  <w:shd w:val="clear" w:color="auto" w:fill="auto"/>
                  <w:vAlign w:val="center"/>
                </w:tcPr>
                <w:p w14:paraId="0E6D847A"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CP length</w:t>
                  </w:r>
                </w:p>
              </w:tc>
              <w:tc>
                <w:tcPr>
                  <w:tcW w:w="3693" w:type="pct"/>
                  <w:gridSpan w:val="4"/>
                  <w:shd w:val="clear" w:color="auto" w:fill="auto"/>
                  <w:vAlign w:val="center"/>
                </w:tcPr>
                <w:p w14:paraId="1A7FFAD0"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Normal</w:t>
                  </w:r>
                </w:p>
              </w:tc>
            </w:tr>
            <w:tr w:rsidR="00C7435A" w:rsidRPr="00C7435A" w14:paraId="070D89E0" w14:textId="77777777" w:rsidTr="00CD4502">
              <w:trPr>
                <w:jc w:val="center"/>
              </w:trPr>
              <w:tc>
                <w:tcPr>
                  <w:tcW w:w="1307" w:type="pct"/>
                  <w:shd w:val="clear" w:color="auto" w:fill="auto"/>
                  <w:vAlign w:val="center"/>
                </w:tcPr>
                <w:p w14:paraId="4FF43DF9" w14:textId="77777777" w:rsidR="00C7435A" w:rsidRPr="00C7435A" w:rsidRDefault="00C7435A" w:rsidP="00C7435A">
                  <w:pPr>
                    <w:pStyle w:val="TAL"/>
                    <w:rPr>
                      <w:rFonts w:ascii="Times New Roman" w:hAnsi="Times New Roman"/>
                      <w:sz w:val="20"/>
                      <w:szCs w:val="20"/>
                    </w:rPr>
                  </w:pPr>
                  <w:r w:rsidRPr="00C7435A">
                    <w:rPr>
                      <w:rFonts w:ascii="Times New Roman" w:hAnsi="Times New Roman"/>
                      <w:sz w:val="20"/>
                      <w:szCs w:val="20"/>
                    </w:rPr>
                    <w:t>Mapping from REG to CCE</w:t>
                  </w:r>
                </w:p>
              </w:tc>
              <w:tc>
                <w:tcPr>
                  <w:tcW w:w="1231" w:type="pct"/>
                  <w:shd w:val="clear" w:color="auto" w:fill="auto"/>
                  <w:vAlign w:val="center"/>
                </w:tcPr>
                <w:p w14:paraId="67FA5864"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Distributed</w:t>
                  </w:r>
                </w:p>
              </w:tc>
              <w:tc>
                <w:tcPr>
                  <w:tcW w:w="1231" w:type="pct"/>
                  <w:gridSpan w:val="2"/>
                  <w:shd w:val="clear" w:color="auto" w:fill="auto"/>
                  <w:vAlign w:val="center"/>
                </w:tcPr>
                <w:p w14:paraId="0A1DD37E" w14:textId="77777777" w:rsidR="00C7435A" w:rsidRPr="00C7435A" w:rsidRDefault="00C7435A" w:rsidP="00C7435A">
                  <w:pPr>
                    <w:pStyle w:val="TAC"/>
                    <w:ind w:firstLine="400"/>
                    <w:rPr>
                      <w:rFonts w:ascii="Times New Roman" w:hAnsi="Times New Roman"/>
                      <w:sz w:val="20"/>
                      <w:szCs w:val="20"/>
                    </w:rPr>
                  </w:pPr>
                  <w:r w:rsidRPr="00C7435A">
                    <w:rPr>
                      <w:rFonts w:ascii="Times New Roman" w:hAnsi="Times New Roman"/>
                      <w:sz w:val="20"/>
                      <w:szCs w:val="20"/>
                    </w:rPr>
                    <w:t>[Non-Distributed]</w:t>
                  </w:r>
                </w:p>
              </w:tc>
              <w:tc>
                <w:tcPr>
                  <w:tcW w:w="1231" w:type="pct"/>
                  <w:shd w:val="clear" w:color="auto" w:fill="auto"/>
                  <w:vAlign w:val="center"/>
                </w:tcPr>
                <w:p w14:paraId="3547301D" w14:textId="77777777" w:rsidR="00C7435A" w:rsidRPr="00C7435A" w:rsidRDefault="00C7435A" w:rsidP="00C7435A">
                  <w:pPr>
                    <w:pStyle w:val="TAC"/>
                    <w:ind w:firstLine="400"/>
                    <w:rPr>
                      <w:rFonts w:ascii="Times New Roman" w:hAnsi="Times New Roman"/>
                      <w:sz w:val="20"/>
                      <w:szCs w:val="20"/>
                      <w:lang w:val="fi-FI"/>
                    </w:rPr>
                  </w:pPr>
                  <w:r w:rsidRPr="00C7435A">
                    <w:rPr>
                      <w:rFonts w:ascii="Times New Roman" w:hAnsi="Times New Roman"/>
                      <w:sz w:val="20"/>
                      <w:szCs w:val="20"/>
                      <w:lang w:val="fi-FI"/>
                    </w:rPr>
                    <w:t>[Distributed]</w:t>
                  </w:r>
                </w:p>
              </w:tc>
            </w:tr>
          </w:tbl>
          <w:p w14:paraId="33C8508E" w14:textId="77777777" w:rsidR="00C7435A" w:rsidRDefault="00C7435A" w:rsidP="00C7435A">
            <w:pPr>
              <w:spacing w:after="120"/>
              <w:jc w:val="both"/>
              <w:rPr>
                <w:sz w:val="20"/>
                <w:szCs w:val="22"/>
                <w:lang w:eastAsia="x-none"/>
              </w:rPr>
            </w:pPr>
          </w:p>
        </w:tc>
      </w:tr>
    </w:tbl>
    <w:p w14:paraId="7CFEF974" w14:textId="77777777" w:rsidR="00C7435A" w:rsidRDefault="00C7435A" w:rsidP="006F3D26">
      <w:pPr>
        <w:spacing w:after="120"/>
        <w:jc w:val="both"/>
        <w:rPr>
          <w:b/>
          <w:bCs/>
          <w:u w:val="single"/>
        </w:rPr>
      </w:pPr>
    </w:p>
    <w:p w14:paraId="5DF2701B" w14:textId="1568ADE9" w:rsidR="00C7435A" w:rsidRDefault="00C848D5" w:rsidP="006F3D26">
      <w:pPr>
        <w:spacing w:after="120"/>
        <w:jc w:val="both"/>
      </w:pPr>
      <w:r w:rsidRPr="00C848D5">
        <w:t>We echo</w:t>
      </w:r>
      <w:r w:rsidR="00D35F98">
        <w:t xml:space="preserve"> the analysis in [3] that</w:t>
      </w:r>
      <w:r w:rsidR="007F6DB8">
        <w:t>:</w:t>
      </w:r>
      <w:r w:rsidR="00D35F98">
        <w:t xml:space="preserve"> for 15PRB case </w:t>
      </w:r>
      <w:r w:rsidR="007F6DB8">
        <w:t xml:space="preserve">with interleaving, </w:t>
      </w:r>
      <w:r w:rsidR="00D35F98">
        <w:t>more CCEs would be punctured</w:t>
      </w:r>
      <w:r w:rsidR="007F6DB8">
        <w:t xml:space="preserve"> than the 15PRB case without interleaving.</w:t>
      </w:r>
      <w:r w:rsidR="00D35F98">
        <w:t xml:space="preserve"> </w:t>
      </w:r>
      <w:r w:rsidR="007F6DB8">
        <w:t xml:space="preserve">However, we are not sure what will happen if UE use non-interleaved REG-to-CCE mapping for RLM BLER estimation, but network is </w:t>
      </w:r>
      <w:proofErr w:type="gramStart"/>
      <w:r w:rsidR="007F6DB8">
        <w:t>actually using</w:t>
      </w:r>
      <w:proofErr w:type="gramEnd"/>
      <w:r w:rsidR="007F6DB8">
        <w:t xml:space="preserve"> the</w:t>
      </w:r>
      <w:r w:rsidR="00D35F98">
        <w:t xml:space="preserve"> </w:t>
      </w:r>
      <w:r w:rsidR="007F6DB8">
        <w:t xml:space="preserve">interleaved REG-to-CCE mapping. In the legacy case, our understanding is non-interleaving and interleaving case can have certain relation/offset in terms of ‘target BLER vs target SNR’ in UE </w:t>
      </w:r>
      <w:r w:rsidR="007F6DB8">
        <w:lastRenderedPageBreak/>
        <w:t>implementation algorithm. For 15PRBS case with 3MHz CBW, the interleaving will result into the different level of puncture of the CCEs, and we are not fully confident if UE can handle such difference between interleaving and non-interleaving during the BLER determination. We are considering whether it would make more sense to use the actual interleaving configured by network during the RLM evaluation in this case.</w:t>
      </w:r>
    </w:p>
    <w:p w14:paraId="594DB56E" w14:textId="0EEA95FD" w:rsidR="007F6DB8" w:rsidRPr="007F6DB8" w:rsidRDefault="007F6DB8" w:rsidP="006F3D26">
      <w:pPr>
        <w:spacing w:after="120"/>
        <w:jc w:val="both"/>
        <w:rPr>
          <w:b/>
          <w:bCs/>
          <w:i/>
          <w:iCs/>
        </w:rPr>
      </w:pPr>
      <w:r w:rsidRPr="00312092">
        <w:rPr>
          <w:b/>
          <w:bCs/>
          <w:i/>
          <w:iCs/>
          <w:lang w:val="en-GB"/>
        </w:rPr>
        <w:t xml:space="preserve">Proposal </w:t>
      </w:r>
      <w:r w:rsidR="004E3B35">
        <w:rPr>
          <w:b/>
          <w:bCs/>
          <w:i/>
          <w:iCs/>
          <w:lang w:val="en-GB"/>
        </w:rPr>
        <w:t>1</w:t>
      </w:r>
      <w:r w:rsidRPr="00312092">
        <w:rPr>
          <w:b/>
          <w:bCs/>
          <w:i/>
          <w:iCs/>
          <w:lang w:val="en-GB"/>
        </w:rPr>
        <w:t xml:space="preserve">: </w:t>
      </w:r>
      <w:r>
        <w:rPr>
          <w:b/>
          <w:bCs/>
          <w:i/>
          <w:iCs/>
          <w:lang w:eastAsia="ko-KR"/>
        </w:rPr>
        <w:t xml:space="preserve">Recommend companies to consider whether it </w:t>
      </w:r>
      <w:r w:rsidRPr="007F6DB8">
        <w:rPr>
          <w:b/>
          <w:bCs/>
          <w:i/>
          <w:iCs/>
          <w:lang w:eastAsia="ko-KR"/>
        </w:rPr>
        <w:t xml:space="preserve">would make more sense to use the actual interleaving configured by network during the RLM evaluation in </w:t>
      </w:r>
      <w:r>
        <w:rPr>
          <w:b/>
          <w:bCs/>
          <w:i/>
          <w:iCs/>
          <w:lang w:eastAsia="ko-KR"/>
        </w:rPr>
        <w:t>15PRB case for 3MHz CBW</w:t>
      </w:r>
      <w:r w:rsidRPr="00312092">
        <w:rPr>
          <w:b/>
          <w:bCs/>
          <w:i/>
          <w:iCs/>
          <w:lang w:eastAsia="ko-KR"/>
        </w:rPr>
        <w:t>.</w:t>
      </w:r>
    </w:p>
    <w:p w14:paraId="04E952D8" w14:textId="77777777" w:rsidR="007F6DB8" w:rsidRPr="00C848D5" w:rsidRDefault="007F6DB8" w:rsidP="006F3D26">
      <w:pPr>
        <w:spacing w:after="120"/>
        <w:jc w:val="both"/>
      </w:pPr>
    </w:p>
    <w:p w14:paraId="51E5E864" w14:textId="77777777" w:rsidR="00C8580C" w:rsidRDefault="00C8580C" w:rsidP="00C8580C">
      <w:pPr>
        <w:spacing w:after="120"/>
        <w:jc w:val="both"/>
        <w:rPr>
          <w:b/>
          <w:bCs/>
          <w:u w:val="single"/>
        </w:rPr>
      </w:pPr>
      <w:r w:rsidRPr="00C8580C">
        <w:rPr>
          <w:b/>
          <w:bCs/>
          <w:u w:val="single"/>
        </w:rPr>
        <w:t>Sub-topic 1-4 Applicability rule addition</w:t>
      </w:r>
    </w:p>
    <w:p w14:paraId="0A9424A5" w14:textId="22A6637E" w:rsidR="00C8580C" w:rsidRDefault="00C8580C" w:rsidP="00C8580C">
      <w:pPr>
        <w:spacing w:after="120"/>
        <w:jc w:val="both"/>
      </w:pPr>
      <w:r w:rsidRPr="00C8580C">
        <w:t>In last meeting, RAN4 has discussed how to add the applicability rules for requirement of UE capable of less than 5</w:t>
      </w:r>
      <w:proofErr w:type="gramStart"/>
      <w:r w:rsidRPr="00C8580C">
        <w:t>MHz</w:t>
      </w:r>
      <w:r>
        <w:t>,a</w:t>
      </w:r>
      <w:proofErr w:type="gramEnd"/>
      <w:r>
        <w:t xml:space="preserve"> </w:t>
      </w:r>
      <w:proofErr w:type="spellStart"/>
      <w:r>
        <w:t>nd</w:t>
      </w:r>
      <w:proofErr w:type="spellEnd"/>
      <w:r>
        <w:t xml:space="preserve"> following options are identified:</w:t>
      </w:r>
    </w:p>
    <w:tbl>
      <w:tblPr>
        <w:tblStyle w:val="TableGrid"/>
        <w:tblW w:w="0" w:type="auto"/>
        <w:tblLook w:val="04A0" w:firstRow="1" w:lastRow="0" w:firstColumn="1" w:lastColumn="0" w:noHBand="0" w:noVBand="1"/>
      </w:tblPr>
      <w:tblGrid>
        <w:gridCol w:w="9629"/>
      </w:tblGrid>
      <w:tr w:rsidR="00C8580C" w14:paraId="25E85B8B" w14:textId="77777777" w:rsidTr="00C8580C">
        <w:tc>
          <w:tcPr>
            <w:tcW w:w="9629" w:type="dxa"/>
          </w:tcPr>
          <w:p w14:paraId="7DA8DAE1" w14:textId="77777777" w:rsidR="00C8580C" w:rsidRPr="00C8580C" w:rsidRDefault="00C8580C" w:rsidP="00C8580C">
            <w:pPr>
              <w:spacing w:after="0"/>
              <w:rPr>
                <w:iCs/>
                <w:sz w:val="20"/>
                <w:szCs w:val="20"/>
              </w:rPr>
            </w:pPr>
            <w:r w:rsidRPr="00C8580C">
              <w:rPr>
                <w:b/>
                <w:sz w:val="20"/>
                <w:szCs w:val="20"/>
              </w:rPr>
              <w:t>Way forward</w:t>
            </w:r>
            <w:r w:rsidRPr="00C8580C">
              <w:rPr>
                <w:sz w:val="20"/>
                <w:szCs w:val="20"/>
              </w:rPr>
              <w:t xml:space="preserve">: </w:t>
            </w:r>
          </w:p>
          <w:p w14:paraId="51E1D2C9" w14:textId="77777777" w:rsidR="00C8580C" w:rsidRPr="00C8580C" w:rsidRDefault="00C8580C" w:rsidP="00C8580C">
            <w:pPr>
              <w:spacing w:after="0"/>
              <w:rPr>
                <w:bCs/>
                <w:sz w:val="20"/>
                <w:szCs w:val="20"/>
                <w:lang w:eastAsia="ko-KR"/>
              </w:rPr>
            </w:pPr>
            <w:r w:rsidRPr="00C8580C">
              <w:rPr>
                <w:bCs/>
                <w:sz w:val="20"/>
                <w:szCs w:val="20"/>
                <w:lang w:eastAsia="ko-KR"/>
              </w:rPr>
              <w:t>For a UE which supports less than 5MHz CBW, discuss whether to add applicability rule of existing requirements for each of the requirements applicable for the less than 5 MHz UE.</w:t>
            </w:r>
          </w:p>
          <w:p w14:paraId="5F605C2F" w14:textId="77777777" w:rsidR="00C8580C" w:rsidRPr="00C8580C" w:rsidRDefault="00C8580C" w:rsidP="00C8580C">
            <w:pPr>
              <w:numPr>
                <w:ilvl w:val="0"/>
                <w:numId w:val="22"/>
              </w:numPr>
              <w:overflowPunct w:val="0"/>
              <w:autoSpaceDE w:val="0"/>
              <w:autoSpaceDN w:val="0"/>
              <w:adjustRightInd w:val="0"/>
              <w:spacing w:after="0"/>
              <w:ind w:left="780"/>
              <w:textAlignment w:val="baseline"/>
              <w:rPr>
                <w:bCs/>
                <w:sz w:val="20"/>
                <w:szCs w:val="20"/>
                <w:lang w:eastAsia="ko-KR"/>
              </w:rPr>
            </w:pPr>
            <w:r w:rsidRPr="00C8580C">
              <w:rPr>
                <w:bCs/>
                <w:sz w:val="20"/>
                <w:szCs w:val="20"/>
                <w:lang w:eastAsia="ko-KR"/>
              </w:rPr>
              <w:t>Proposals</w:t>
            </w:r>
          </w:p>
          <w:p w14:paraId="0EBD57E3" w14:textId="77777777" w:rsidR="00C8580C" w:rsidRPr="00C8580C" w:rsidRDefault="00C8580C" w:rsidP="00C8580C">
            <w:pPr>
              <w:numPr>
                <w:ilvl w:val="1"/>
                <w:numId w:val="22"/>
              </w:numPr>
              <w:overflowPunct w:val="0"/>
              <w:autoSpaceDE w:val="0"/>
              <w:autoSpaceDN w:val="0"/>
              <w:adjustRightInd w:val="0"/>
              <w:spacing w:after="0"/>
              <w:ind w:left="1500"/>
              <w:textAlignment w:val="baseline"/>
              <w:rPr>
                <w:bCs/>
                <w:sz w:val="20"/>
                <w:szCs w:val="20"/>
                <w:lang w:eastAsia="ko-KR"/>
              </w:rPr>
            </w:pPr>
            <w:r w:rsidRPr="00C8580C">
              <w:rPr>
                <w:bCs/>
                <w:sz w:val="20"/>
                <w:szCs w:val="20"/>
                <w:lang w:eastAsia="ko-KR"/>
              </w:rPr>
              <w:t>Option 1: Have applicability rule under each section supported by rel-18. (Nokia)</w:t>
            </w:r>
          </w:p>
          <w:p w14:paraId="10E146A8" w14:textId="77777777" w:rsidR="00C8580C" w:rsidRPr="00C8580C" w:rsidRDefault="00C8580C" w:rsidP="00C8580C">
            <w:pPr>
              <w:numPr>
                <w:ilvl w:val="1"/>
                <w:numId w:val="22"/>
              </w:numPr>
              <w:overflowPunct w:val="0"/>
              <w:autoSpaceDE w:val="0"/>
              <w:autoSpaceDN w:val="0"/>
              <w:adjustRightInd w:val="0"/>
              <w:spacing w:after="0"/>
              <w:ind w:left="1500"/>
              <w:textAlignment w:val="baseline"/>
              <w:rPr>
                <w:bCs/>
                <w:sz w:val="20"/>
                <w:szCs w:val="20"/>
                <w:lang w:eastAsia="ko-KR"/>
              </w:rPr>
            </w:pPr>
            <w:r w:rsidRPr="00C8580C">
              <w:rPr>
                <w:bCs/>
                <w:sz w:val="20"/>
                <w:szCs w:val="20"/>
                <w:lang w:eastAsia="ko-KR"/>
              </w:rPr>
              <w:t>Option 2: New section referring to the applicable requirements for rel-18. (Ericsson, Nokia)</w:t>
            </w:r>
          </w:p>
          <w:p w14:paraId="2D604E6F" w14:textId="77777777" w:rsidR="00C8580C" w:rsidRPr="00C8580C" w:rsidRDefault="00C8580C" w:rsidP="00C8580C">
            <w:pPr>
              <w:numPr>
                <w:ilvl w:val="1"/>
                <w:numId w:val="22"/>
              </w:numPr>
              <w:overflowPunct w:val="0"/>
              <w:autoSpaceDE w:val="0"/>
              <w:autoSpaceDN w:val="0"/>
              <w:adjustRightInd w:val="0"/>
              <w:spacing w:after="0"/>
              <w:ind w:left="1500"/>
              <w:textAlignment w:val="baseline"/>
              <w:rPr>
                <w:bCs/>
                <w:sz w:val="20"/>
                <w:szCs w:val="20"/>
                <w:lang w:eastAsia="ko-KR"/>
              </w:rPr>
            </w:pPr>
            <w:r w:rsidRPr="00C8580C">
              <w:rPr>
                <w:bCs/>
                <w:sz w:val="20"/>
                <w:szCs w:val="20"/>
                <w:lang w:eastAsia="ko-KR"/>
              </w:rPr>
              <w:t>Option 3: only address the requirements impacted by &lt; 5MHz (as done currently). (Nokia)</w:t>
            </w:r>
          </w:p>
          <w:p w14:paraId="77643A91" w14:textId="77777777" w:rsidR="00C8580C" w:rsidRPr="004F140E" w:rsidRDefault="00C8580C" w:rsidP="00C8580C">
            <w:pPr>
              <w:numPr>
                <w:ilvl w:val="1"/>
                <w:numId w:val="22"/>
              </w:numPr>
              <w:overflowPunct w:val="0"/>
              <w:autoSpaceDE w:val="0"/>
              <w:autoSpaceDN w:val="0"/>
              <w:adjustRightInd w:val="0"/>
              <w:spacing w:after="0"/>
              <w:ind w:left="1500"/>
              <w:textAlignment w:val="baseline"/>
              <w:rPr>
                <w:bCs/>
                <w:lang w:eastAsia="ko-KR"/>
              </w:rPr>
            </w:pPr>
            <w:r w:rsidRPr="00C8580C">
              <w:rPr>
                <w:bCs/>
                <w:sz w:val="20"/>
                <w:szCs w:val="20"/>
                <w:lang w:eastAsia="ko-KR"/>
              </w:rPr>
              <w:t>Option 4: No need to specify separate requirements or applicable rules for a UE that only supports less than 5MHz BW.</w:t>
            </w:r>
          </w:p>
          <w:p w14:paraId="38ADE90D" w14:textId="77777777" w:rsidR="004F140E" w:rsidRPr="004F140E" w:rsidRDefault="004F140E" w:rsidP="004F140E">
            <w:pPr>
              <w:spacing w:after="0"/>
              <w:rPr>
                <w:sz w:val="20"/>
                <w:szCs w:val="20"/>
                <w:highlight w:val="green"/>
              </w:rPr>
            </w:pPr>
            <w:r w:rsidRPr="004F140E">
              <w:rPr>
                <w:rFonts w:hint="eastAsia"/>
                <w:sz w:val="20"/>
                <w:szCs w:val="20"/>
                <w:highlight w:val="green"/>
              </w:rPr>
              <w:t>Further</w:t>
            </w:r>
            <w:r w:rsidRPr="004F140E">
              <w:rPr>
                <w:sz w:val="20"/>
                <w:szCs w:val="20"/>
                <w:highlight w:val="green"/>
              </w:rPr>
              <w:t xml:space="preserve"> discuss and down-select one option in this meeting:</w:t>
            </w:r>
          </w:p>
          <w:p w14:paraId="02D27C21" w14:textId="77777777" w:rsidR="004F140E" w:rsidRPr="004F140E" w:rsidRDefault="004F140E" w:rsidP="004F140E">
            <w:pPr>
              <w:pStyle w:val="ListParagraph"/>
              <w:widowControl/>
              <w:numPr>
                <w:ilvl w:val="1"/>
                <w:numId w:val="22"/>
              </w:numPr>
              <w:spacing w:after="0" w:line="240" w:lineRule="auto"/>
              <w:ind w:left="1440" w:firstLineChars="0"/>
              <w:rPr>
                <w:sz w:val="20"/>
                <w:szCs w:val="20"/>
                <w:highlight w:val="green"/>
              </w:rPr>
            </w:pPr>
            <w:r w:rsidRPr="004F140E">
              <w:rPr>
                <w:sz w:val="20"/>
                <w:szCs w:val="20"/>
                <w:highlight w:val="green"/>
              </w:rPr>
              <w:t xml:space="preserve">Option 2: New section referring to the [non-applicable or] applicable requirements for rel-18. </w:t>
            </w:r>
          </w:p>
          <w:p w14:paraId="7DE3C423" w14:textId="6BC1900D" w:rsidR="004F140E" w:rsidRPr="004F140E" w:rsidRDefault="004F140E" w:rsidP="004F140E">
            <w:pPr>
              <w:pStyle w:val="ListParagraph"/>
              <w:widowControl/>
              <w:numPr>
                <w:ilvl w:val="1"/>
                <w:numId w:val="22"/>
              </w:numPr>
              <w:spacing w:after="0" w:line="240" w:lineRule="auto"/>
              <w:ind w:left="1440" w:firstLineChars="0"/>
              <w:rPr>
                <w:highlight w:val="green"/>
              </w:rPr>
            </w:pPr>
            <w:r w:rsidRPr="004F140E">
              <w:rPr>
                <w:sz w:val="20"/>
                <w:szCs w:val="20"/>
                <w:highlight w:val="green"/>
              </w:rPr>
              <w:t xml:space="preserve">Option 4: </w:t>
            </w:r>
            <w:r w:rsidRPr="004F140E">
              <w:rPr>
                <w:bCs/>
                <w:sz w:val="20"/>
                <w:szCs w:val="20"/>
                <w:highlight w:val="green"/>
              </w:rPr>
              <w:t>No need to specify separate requirements or applicable rules for a UE that supports less than 5MHz BW</w:t>
            </w:r>
            <w:r w:rsidRPr="004F140E">
              <w:rPr>
                <w:sz w:val="20"/>
                <w:szCs w:val="20"/>
                <w:highlight w:val="green"/>
              </w:rPr>
              <w:t>.</w:t>
            </w:r>
          </w:p>
        </w:tc>
      </w:tr>
    </w:tbl>
    <w:p w14:paraId="208F9A14" w14:textId="77777777" w:rsidR="00C8580C" w:rsidRPr="00C8580C" w:rsidRDefault="00C8580C" w:rsidP="00C8580C">
      <w:pPr>
        <w:spacing w:after="120"/>
        <w:jc w:val="both"/>
      </w:pPr>
    </w:p>
    <w:p w14:paraId="1C0E0AA9" w14:textId="05F3D0A6" w:rsidR="00312092" w:rsidRDefault="004F140E" w:rsidP="006F3D26">
      <w:pPr>
        <w:spacing w:after="120"/>
        <w:jc w:val="both"/>
        <w:rPr>
          <w:lang w:val="en-GB"/>
        </w:rPr>
      </w:pPr>
      <w:r w:rsidRPr="004F140E">
        <w:t>We understa</w:t>
      </w:r>
      <w:r w:rsidRPr="004F140E">
        <w:rPr>
          <w:rFonts w:hint="eastAsia"/>
        </w:rPr>
        <w:t>n</w:t>
      </w:r>
      <w:r w:rsidRPr="004F140E">
        <w:t>d</w:t>
      </w:r>
      <w:r>
        <w:t xml:space="preserve"> that RRM requirement always defined in a band-</w:t>
      </w:r>
      <w:r w:rsidRPr="004F140E">
        <w:t>agnostic</w:t>
      </w:r>
      <w:r>
        <w:t xml:space="preserve"> way</w:t>
      </w:r>
      <w:r w:rsidR="00312092">
        <w:t xml:space="preserve">; </w:t>
      </w:r>
      <w:r>
        <w:t>but in this less than 5MHz</w:t>
      </w:r>
      <w:proofErr w:type="gramStart"/>
      <w:r>
        <w:t>, actually</w:t>
      </w:r>
      <w:r w:rsidR="00312092">
        <w:t>,</w:t>
      </w:r>
      <w:r>
        <w:t xml:space="preserve"> RAN4</w:t>
      </w:r>
      <w:proofErr w:type="gramEnd"/>
      <w:r>
        <w:t xml:space="preserve"> has preclude</w:t>
      </w:r>
      <w:r w:rsidR="00312092">
        <w:t>d</w:t>
      </w:r>
      <w:r>
        <w:t xml:space="preserve"> some requirement which are not relevant with the band. For example, </w:t>
      </w:r>
      <w:r>
        <w:rPr>
          <w:lang w:val="en-GB"/>
        </w:rPr>
        <w:t>15PRBs</w:t>
      </w:r>
      <w:r w:rsidRPr="006974C3">
        <w:rPr>
          <w:lang w:val="en-GB"/>
        </w:rPr>
        <w:t xml:space="preserve"> </w:t>
      </w:r>
      <w:r>
        <w:rPr>
          <w:lang w:val="en-GB"/>
        </w:rPr>
        <w:t xml:space="preserve">transmission BW configuration for 3MHz was assumed for some bands other than n100, however, RAN4 previously agreed that </w:t>
      </w:r>
      <w:r w:rsidR="00312092">
        <w:rPr>
          <w:lang w:val="en-GB"/>
        </w:rPr>
        <w:t xml:space="preserve">no </w:t>
      </w:r>
      <w:r>
        <w:rPr>
          <w:lang w:val="en-GB"/>
        </w:rPr>
        <w:t>CSI-RS based L1 measurement requirement (RLM/BFD/CBD/</w:t>
      </w:r>
      <w:r w:rsidR="00312092">
        <w:rPr>
          <w:lang w:val="en-GB"/>
        </w:rPr>
        <w:t>L1-RSRP</w:t>
      </w:r>
      <w:r>
        <w:rPr>
          <w:lang w:val="en-GB"/>
        </w:rPr>
        <w:t>)</w:t>
      </w:r>
      <w:r w:rsidR="00312092">
        <w:rPr>
          <w:lang w:val="en-GB"/>
        </w:rPr>
        <w:t xml:space="preserve"> is specified for the less than 5MHz case, and therefore the legacy L1 measurement requirement shall not be applied for less than 5MHz case. Such kind of the applicability rule is worthwhile to be captured in a new generic section for spec readability.</w:t>
      </w:r>
    </w:p>
    <w:p w14:paraId="468102BD" w14:textId="4728590E" w:rsidR="00C7435A" w:rsidRPr="00312092" w:rsidRDefault="00312092" w:rsidP="006F3D26">
      <w:pPr>
        <w:spacing w:after="120"/>
        <w:jc w:val="both"/>
        <w:rPr>
          <w:b/>
          <w:bCs/>
          <w:i/>
          <w:iCs/>
        </w:rPr>
      </w:pPr>
      <w:r w:rsidRPr="00312092">
        <w:rPr>
          <w:b/>
          <w:bCs/>
          <w:i/>
          <w:iCs/>
          <w:lang w:val="en-GB"/>
        </w:rPr>
        <w:t xml:space="preserve">Proposal 2: </w:t>
      </w:r>
      <w:r w:rsidRPr="00312092">
        <w:rPr>
          <w:b/>
          <w:bCs/>
          <w:i/>
          <w:iCs/>
          <w:lang w:eastAsia="ko-KR"/>
        </w:rPr>
        <w:t>For a UE which supports less than 5MHz CBW, RAN4 to introduce a new section referring to the applicable requirements for rel-18.</w:t>
      </w:r>
    </w:p>
    <w:p w14:paraId="268CD3CA" w14:textId="77777777" w:rsidR="00C8580C" w:rsidRPr="00312092" w:rsidRDefault="00C8580C" w:rsidP="006F3D26">
      <w:pPr>
        <w:spacing w:after="120"/>
        <w:jc w:val="both"/>
        <w:rPr>
          <w:b/>
          <w:bCs/>
          <w:u w:val="single"/>
        </w:rPr>
      </w:pPr>
    </w:p>
    <w:p w14:paraId="226A163C" w14:textId="2C809D51" w:rsidR="00312092" w:rsidRPr="00312092" w:rsidRDefault="00312092" w:rsidP="006F3D26">
      <w:pPr>
        <w:spacing w:after="120"/>
        <w:jc w:val="both"/>
        <w:rPr>
          <w:b/>
          <w:bCs/>
          <w:u w:val="single"/>
        </w:rPr>
      </w:pPr>
      <w:r w:rsidRPr="00312092">
        <w:rPr>
          <w:b/>
          <w:bCs/>
          <w:u w:val="single"/>
        </w:rPr>
        <w:t xml:space="preserve">LS on inter-frequency </w:t>
      </w:r>
      <w:proofErr w:type="spellStart"/>
      <w:r w:rsidRPr="00312092">
        <w:rPr>
          <w:b/>
          <w:bCs/>
          <w:u w:val="single"/>
        </w:rPr>
        <w:t>neighbour</w:t>
      </w:r>
      <w:proofErr w:type="spellEnd"/>
      <w:r w:rsidRPr="00312092">
        <w:rPr>
          <w:b/>
          <w:bCs/>
          <w:u w:val="single"/>
        </w:rPr>
        <w:t xml:space="preserve"> cells supporting NR dedicated spectrum less than 5 MHz for FR1</w:t>
      </w:r>
    </w:p>
    <w:p w14:paraId="5728F78B" w14:textId="32192619" w:rsidR="00312092" w:rsidRDefault="00312092" w:rsidP="00312092">
      <w:pPr>
        <w:spacing w:after="120"/>
        <w:jc w:val="both"/>
      </w:pPr>
      <w:r w:rsidRPr="00312092">
        <w:t xml:space="preserve">RAN4 received one LS </w:t>
      </w:r>
      <w:r>
        <w:t>from RAN1 as following:</w:t>
      </w:r>
    </w:p>
    <w:tbl>
      <w:tblPr>
        <w:tblStyle w:val="TableGrid"/>
        <w:tblW w:w="0" w:type="auto"/>
        <w:tblLook w:val="04A0" w:firstRow="1" w:lastRow="0" w:firstColumn="1" w:lastColumn="0" w:noHBand="0" w:noVBand="1"/>
      </w:tblPr>
      <w:tblGrid>
        <w:gridCol w:w="9629"/>
      </w:tblGrid>
      <w:tr w:rsidR="00312092" w14:paraId="52FBD4ED" w14:textId="77777777" w:rsidTr="00312092">
        <w:tc>
          <w:tcPr>
            <w:tcW w:w="9629" w:type="dxa"/>
          </w:tcPr>
          <w:p w14:paraId="584A9969" w14:textId="293D4193" w:rsidR="00312092" w:rsidRPr="00312092" w:rsidRDefault="00312092" w:rsidP="00312092">
            <w:pPr>
              <w:spacing w:after="120"/>
              <w:jc w:val="both"/>
              <w:rPr>
                <w:sz w:val="20"/>
                <w:szCs w:val="20"/>
                <w:lang w:val="en-GB"/>
              </w:rPr>
            </w:pPr>
            <w:r w:rsidRPr="00312092">
              <w:rPr>
                <w:sz w:val="20"/>
                <w:szCs w:val="20"/>
                <w:lang w:val="en-GB"/>
              </w:rPr>
              <w:t>RAN1 has discussed the following issue regarding the configuration of inter-frequency neighbour cell list, including the neighbour cells in NR dedicated spectrum less than 5 MHz for FR1 with single carrier operation:</w:t>
            </w:r>
          </w:p>
          <w:p w14:paraId="422DD535" w14:textId="3F5BD55A" w:rsidR="00312092" w:rsidRPr="00312092" w:rsidRDefault="00312092" w:rsidP="00312092">
            <w:pPr>
              <w:spacing w:after="120"/>
              <w:jc w:val="both"/>
              <w:rPr>
                <w:sz w:val="20"/>
                <w:szCs w:val="20"/>
                <w:lang w:val="en-GB"/>
              </w:rPr>
            </w:pPr>
            <w:r w:rsidRPr="00312092">
              <w:rPr>
                <w:sz w:val="20"/>
                <w:szCs w:val="20"/>
                <w:lang w:val="en-GB"/>
              </w:rPr>
              <w:t>According to current specifications, SIB4 indicates the inter-frequency neighbour cell(s) with the dl-</w:t>
            </w:r>
            <w:proofErr w:type="spellStart"/>
            <w:r w:rsidRPr="00312092">
              <w:rPr>
                <w:sz w:val="20"/>
                <w:szCs w:val="20"/>
                <w:lang w:val="en-GB"/>
              </w:rPr>
              <w:t>CarrierFreq</w:t>
            </w:r>
            <w:proofErr w:type="spellEnd"/>
            <w:r w:rsidRPr="00312092">
              <w:rPr>
                <w:sz w:val="20"/>
                <w:szCs w:val="20"/>
                <w:lang w:val="en-GB"/>
              </w:rPr>
              <w:t xml:space="preserve">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w:t>
            </w:r>
            <w:proofErr w:type="spellStart"/>
            <w:r w:rsidRPr="00312092">
              <w:rPr>
                <w:sz w:val="20"/>
                <w:szCs w:val="20"/>
                <w:lang w:val="en-GB"/>
              </w:rPr>
              <w:t>CarrierFreq</w:t>
            </w:r>
            <w:proofErr w:type="spellEnd"/>
            <w:r w:rsidRPr="00312092">
              <w:rPr>
                <w:sz w:val="20"/>
                <w:szCs w:val="20"/>
                <w:lang w:val="en-GB"/>
              </w:rPr>
              <w:t xml:space="preserve"> which do not correspond to the Rel-17 GSCN values. </w:t>
            </w:r>
          </w:p>
          <w:p w14:paraId="3D7957DA" w14:textId="53AFAB72" w:rsidR="00312092" w:rsidRPr="00312092" w:rsidRDefault="00312092" w:rsidP="00312092">
            <w:pPr>
              <w:spacing w:after="120"/>
              <w:jc w:val="both"/>
              <w:rPr>
                <w:sz w:val="20"/>
                <w:szCs w:val="20"/>
                <w:lang w:val="en-GB"/>
              </w:rPr>
            </w:pPr>
            <w:r w:rsidRPr="00312092">
              <w:rPr>
                <w:b/>
                <w:bCs/>
                <w:sz w:val="20"/>
                <w:szCs w:val="20"/>
                <w:lang w:val="en-GB"/>
              </w:rPr>
              <w:t xml:space="preserve">Question 1: </w:t>
            </w:r>
            <w:r w:rsidRPr="00312092">
              <w:rPr>
                <w:sz w:val="20"/>
                <w:szCs w:val="20"/>
                <w:lang w:val="en-GB"/>
              </w:rPr>
              <w:t xml:space="preserve">Does RAN2/RAN4 expect any backward compatibility issue for a UE not supporting less than 5MHz but provided with a neighbour cell with SSB on the new GSCN value in the scenario described above or other similar scenarios if any? For example, if a UE accessed a cell with SSB on the legacy GSCN value, the UE not supporting less </w:t>
            </w:r>
            <w:r w:rsidRPr="00312092">
              <w:rPr>
                <w:sz w:val="20"/>
                <w:szCs w:val="20"/>
                <w:lang w:val="en-GB"/>
              </w:rPr>
              <w:lastRenderedPageBreak/>
              <w:t>than 5MHz may search SSB on the new GSCN values indicated in the common neighbour cell list and wrongly access the neighbour cell(s) in NR dedicated spectrum less than 5 MHz for FR1 with single carrier operation.</w:t>
            </w:r>
          </w:p>
          <w:p w14:paraId="0642FD4B" w14:textId="7F913918" w:rsidR="00312092" w:rsidRPr="00312092" w:rsidRDefault="00312092" w:rsidP="00312092">
            <w:pPr>
              <w:spacing w:after="120"/>
              <w:jc w:val="both"/>
              <w:rPr>
                <w:lang w:val="en-GB"/>
              </w:rPr>
            </w:pPr>
            <w:r w:rsidRPr="00312092">
              <w:rPr>
                <w:b/>
                <w:bCs/>
                <w:sz w:val="20"/>
                <w:szCs w:val="20"/>
                <w:lang w:val="en-GB"/>
              </w:rPr>
              <w:t>Question 2:</w:t>
            </w:r>
            <w:r w:rsidRPr="00312092">
              <w:rPr>
                <w:sz w:val="20"/>
                <w:szCs w:val="20"/>
                <w:lang w:val="en-GB"/>
              </w:rPr>
              <w:t xml:space="preserve"> If the answer to Question 1 is Yes, is it possible for RAN2 to define a scheme to avoid the backward compatibility issue?</w:t>
            </w:r>
          </w:p>
        </w:tc>
      </w:tr>
    </w:tbl>
    <w:p w14:paraId="491F0CEC" w14:textId="77777777" w:rsidR="00312092" w:rsidRDefault="00312092" w:rsidP="00312092">
      <w:pPr>
        <w:spacing w:after="120"/>
        <w:jc w:val="both"/>
      </w:pPr>
    </w:p>
    <w:p w14:paraId="22F5EB43" w14:textId="34C81127" w:rsidR="00312092" w:rsidRDefault="00312092" w:rsidP="00312092">
      <w:pPr>
        <w:spacing w:after="120"/>
        <w:jc w:val="both"/>
      </w:pPr>
      <w:r>
        <w:t>The existing SIB4 for intra-frequency measurement is defined as:</w:t>
      </w:r>
    </w:p>
    <w:p w14:paraId="47951D2C" w14:textId="7EC8B1D8" w:rsidR="00312092" w:rsidRDefault="00312092" w:rsidP="00312092">
      <w:pPr>
        <w:spacing w:after="120"/>
        <w:jc w:val="both"/>
      </w:pPr>
      <w:r w:rsidRPr="00312092">
        <w:rPr>
          <w:noProof/>
        </w:rPr>
        <w:drawing>
          <wp:inline distT="0" distB="0" distL="0" distR="0" wp14:anchorId="745B9484" wp14:editId="6B1DD6B2">
            <wp:extent cx="4278610" cy="1513205"/>
            <wp:effectExtent l="0" t="0" r="1905" b="0"/>
            <wp:docPr id="173943064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430642" name="Picture 1" descr="A screenshot of a computer&#10;&#10;Description automatically generated"/>
                    <pic:cNvPicPr/>
                  </pic:nvPicPr>
                  <pic:blipFill>
                    <a:blip r:embed="rId8"/>
                    <a:stretch>
                      <a:fillRect/>
                    </a:stretch>
                  </pic:blipFill>
                  <pic:spPr>
                    <a:xfrm>
                      <a:off x="0" y="0"/>
                      <a:ext cx="4294401" cy="1518790"/>
                    </a:xfrm>
                    <a:prstGeom prst="rect">
                      <a:avLst/>
                    </a:prstGeom>
                  </pic:spPr>
                </pic:pic>
              </a:graphicData>
            </a:graphic>
          </wp:inline>
        </w:drawing>
      </w:r>
    </w:p>
    <w:p w14:paraId="56F4162F" w14:textId="70EAF29A" w:rsidR="00312092" w:rsidRDefault="00312092" w:rsidP="00312092">
      <w:pPr>
        <w:spacing w:after="120"/>
        <w:jc w:val="both"/>
      </w:pPr>
      <w:r>
        <w:t xml:space="preserve">In NR, SIB4 indicates the cell reselection configuration of inter-frequency </w:t>
      </w:r>
      <w:proofErr w:type="spellStart"/>
      <w:r>
        <w:t>neighbour</w:t>
      </w:r>
      <w:proofErr w:type="spellEnd"/>
      <w:r>
        <w:t xml:space="preserve"> cell, where the ARFCN-</w:t>
      </w:r>
      <w:proofErr w:type="spellStart"/>
      <w:r>
        <w:t>ValueNR</w:t>
      </w:r>
      <w:proofErr w:type="spellEnd"/>
      <w:r>
        <w:t xml:space="preserve"> of dl-</w:t>
      </w:r>
      <w:proofErr w:type="spellStart"/>
      <w:r>
        <w:t>CarrierFreq</w:t>
      </w:r>
      <w:proofErr w:type="spellEnd"/>
      <w:r>
        <w:t xml:space="preserve"> is the GSCN value for the SSB. For legacy UEs only support 5MHz BW and above, the ARFCN-</w:t>
      </w:r>
      <w:proofErr w:type="spellStart"/>
      <w:r>
        <w:t>ValueNR</w:t>
      </w:r>
      <w:proofErr w:type="spellEnd"/>
      <w:r>
        <w:t xml:space="preserve"> of the inter-</w:t>
      </w:r>
      <w:proofErr w:type="spellStart"/>
      <w:r>
        <w:t>freq</w:t>
      </w:r>
      <w:proofErr w:type="spellEnd"/>
      <w:r>
        <w:t xml:space="preserve"> </w:t>
      </w:r>
      <w:proofErr w:type="spellStart"/>
      <w:r>
        <w:t>neighbour</w:t>
      </w:r>
      <w:proofErr w:type="spellEnd"/>
      <w:r>
        <w:t xml:space="preserve"> cells should be only legacy sync raster points with 20PRB SSB. For new UEs supporting less than 5MHz, the ARFCN-</w:t>
      </w:r>
      <w:proofErr w:type="spellStart"/>
      <w:r>
        <w:t>ValueNR</w:t>
      </w:r>
      <w:proofErr w:type="spellEnd"/>
      <w:r>
        <w:t xml:space="preserve"> of the inter-</w:t>
      </w:r>
      <w:proofErr w:type="spellStart"/>
      <w:r>
        <w:t>freq</w:t>
      </w:r>
      <w:proofErr w:type="spellEnd"/>
      <w:r>
        <w:t xml:space="preserve"> </w:t>
      </w:r>
      <w:proofErr w:type="spellStart"/>
      <w:r>
        <w:t>neighbour</w:t>
      </w:r>
      <w:proofErr w:type="spellEnd"/>
      <w:r>
        <w:t xml:space="preserve"> cells can be legacy sync raster points or new sync raster points with 20PRB/15PRB/12PRB SSB. If a common </w:t>
      </w:r>
      <w:proofErr w:type="spellStart"/>
      <w:r w:rsidRPr="00312092">
        <w:rPr>
          <w:i/>
          <w:iCs/>
        </w:rPr>
        <w:t>interFreqCarrierFreqList</w:t>
      </w:r>
      <w:proofErr w:type="spellEnd"/>
      <w:r>
        <w:t xml:space="preserve"> is shared by legacy UEs and new UEs, the ARFCN-</w:t>
      </w:r>
      <w:proofErr w:type="spellStart"/>
      <w:r>
        <w:t>ValueNR</w:t>
      </w:r>
      <w:proofErr w:type="spellEnd"/>
      <w:r>
        <w:t xml:space="preserve"> corresponding to the new GSCN for less than 5MHz cannot be identified by the legacy UEs.</w:t>
      </w:r>
    </w:p>
    <w:p w14:paraId="031487FF" w14:textId="03A16577" w:rsidR="00312092" w:rsidRDefault="00312092" w:rsidP="00312092">
      <w:pPr>
        <w:spacing w:after="120"/>
        <w:jc w:val="both"/>
      </w:pPr>
      <w:r>
        <w:t>Thus</w:t>
      </w:r>
      <w:r w:rsidR="00D22BDA">
        <w:t>,</w:t>
      </w:r>
      <w:r>
        <w:t xml:space="preserve"> we acknowledge the issue identified by RAN1</w:t>
      </w:r>
      <w:r w:rsidR="00D22BDA">
        <w:t>. We are also thinking of the solutions to address this issue, and there could be two alternatives:</w:t>
      </w:r>
    </w:p>
    <w:p w14:paraId="1C28D8B1" w14:textId="08CB9A72" w:rsidR="00D22BDA" w:rsidRPr="00D22BDA" w:rsidRDefault="00D22BDA" w:rsidP="00D22BDA">
      <w:pPr>
        <w:pStyle w:val="ListParagraph"/>
        <w:numPr>
          <w:ilvl w:val="0"/>
          <w:numId w:val="64"/>
        </w:numPr>
        <w:spacing w:after="120"/>
        <w:ind w:firstLineChars="0"/>
        <w:jc w:val="both"/>
        <w:rPr>
          <w:sz w:val="24"/>
          <w:szCs w:val="24"/>
        </w:rPr>
      </w:pPr>
      <w:r w:rsidRPr="00D22BDA">
        <w:rPr>
          <w:sz w:val="24"/>
          <w:szCs w:val="24"/>
        </w:rPr>
        <w:t>A</w:t>
      </w:r>
      <w:r w:rsidRPr="00D22BDA">
        <w:rPr>
          <w:rFonts w:hint="eastAsia"/>
          <w:sz w:val="24"/>
          <w:szCs w:val="24"/>
          <w:lang w:eastAsia="zh-CN"/>
        </w:rPr>
        <w:t>lt</w:t>
      </w:r>
      <w:r w:rsidRPr="00D22BDA">
        <w:rPr>
          <w:sz w:val="24"/>
          <w:szCs w:val="24"/>
        </w:rPr>
        <w:t xml:space="preserve"> 1: New cell list is introduced for inter-frequency layers which have less than 5MHz cell</w:t>
      </w:r>
    </w:p>
    <w:p w14:paraId="36ADACE3" w14:textId="7C9E0E89" w:rsidR="00D22BDA" w:rsidRPr="00D22BDA" w:rsidRDefault="00D22BDA" w:rsidP="00D22BDA">
      <w:pPr>
        <w:pStyle w:val="ListParagraph"/>
        <w:numPr>
          <w:ilvl w:val="0"/>
          <w:numId w:val="64"/>
        </w:numPr>
        <w:spacing w:after="120"/>
        <w:ind w:firstLineChars="0"/>
        <w:jc w:val="both"/>
        <w:rPr>
          <w:sz w:val="24"/>
          <w:szCs w:val="24"/>
        </w:rPr>
      </w:pPr>
      <w:r w:rsidRPr="00D22BDA">
        <w:rPr>
          <w:sz w:val="24"/>
          <w:szCs w:val="24"/>
        </w:rPr>
        <w:t>Alt 2: New SIB is introduced for inter-frequency layers which have less than 5MHz cell</w:t>
      </w:r>
    </w:p>
    <w:p w14:paraId="3695C4B4" w14:textId="77777777" w:rsidR="0014714A" w:rsidRDefault="00D22BDA" w:rsidP="00D22BDA">
      <w:pPr>
        <w:spacing w:after="120"/>
        <w:jc w:val="both"/>
      </w:pPr>
      <w:r>
        <w:t xml:space="preserve">Alt1 is probably the most straightforward approach to address this backward compatibility issue, like the existing list introduced in R17 and R16 features on top of R15 one. Alt2 would cause big change to RAN2 </w:t>
      </w:r>
      <w:proofErr w:type="gramStart"/>
      <w:r>
        <w:t>spec</w:t>
      </w:r>
      <w:proofErr w:type="gramEnd"/>
      <w:r>
        <w:t xml:space="preserve"> but it can be a dedicated SIB used for less than 5MHz capable UE for future features. We have no strong view on alt1/2, </w:t>
      </w:r>
      <w:proofErr w:type="gramStart"/>
      <w:r>
        <w:t>and also</w:t>
      </w:r>
      <w:proofErr w:type="gramEnd"/>
      <w:r>
        <w:t xml:space="preserve"> believe RAN2 could be the most suitable WG to decide it.</w:t>
      </w:r>
      <w:r w:rsidR="0014714A">
        <w:t xml:space="preserve"> </w:t>
      </w:r>
    </w:p>
    <w:p w14:paraId="30A65038" w14:textId="77777777" w:rsidR="0014714A" w:rsidRDefault="0014714A" w:rsidP="00D22BDA">
      <w:pPr>
        <w:spacing w:after="120"/>
        <w:jc w:val="both"/>
      </w:pPr>
      <w:r>
        <w:t>Thus, we propose the following replies:</w:t>
      </w:r>
    </w:p>
    <w:tbl>
      <w:tblPr>
        <w:tblStyle w:val="TableGrid"/>
        <w:tblW w:w="0" w:type="auto"/>
        <w:tblLook w:val="04A0" w:firstRow="1" w:lastRow="0" w:firstColumn="1" w:lastColumn="0" w:noHBand="0" w:noVBand="1"/>
      </w:tblPr>
      <w:tblGrid>
        <w:gridCol w:w="9629"/>
      </w:tblGrid>
      <w:tr w:rsidR="0014714A" w14:paraId="5B45D271" w14:textId="77777777" w:rsidTr="0014714A">
        <w:tc>
          <w:tcPr>
            <w:tcW w:w="9629" w:type="dxa"/>
          </w:tcPr>
          <w:p w14:paraId="5E4002EC" w14:textId="15315B37" w:rsidR="0014714A" w:rsidRPr="00312092" w:rsidRDefault="0014714A" w:rsidP="0014714A">
            <w:pPr>
              <w:spacing w:after="120"/>
              <w:jc w:val="both"/>
              <w:rPr>
                <w:lang w:val="en-GB"/>
              </w:rPr>
            </w:pPr>
            <w:r w:rsidRPr="0014714A">
              <w:rPr>
                <w:b/>
                <w:bCs/>
                <w:lang w:val="en-GB"/>
              </w:rPr>
              <w:t xml:space="preserve">Answer to </w:t>
            </w:r>
            <w:r w:rsidRPr="00312092">
              <w:rPr>
                <w:b/>
                <w:bCs/>
                <w:lang w:val="en-GB"/>
              </w:rPr>
              <w:t xml:space="preserve">Question 1: </w:t>
            </w:r>
            <w:r w:rsidRPr="0014714A">
              <w:rPr>
                <w:lang w:val="en-GB"/>
              </w:rPr>
              <w:t xml:space="preserve">Yes, </w:t>
            </w:r>
            <w:r w:rsidRPr="00312092">
              <w:rPr>
                <w:lang w:val="en-GB"/>
              </w:rPr>
              <w:t xml:space="preserve">RAN4 </w:t>
            </w:r>
            <w:r w:rsidRPr="0014714A">
              <w:rPr>
                <w:lang w:val="en-GB"/>
              </w:rPr>
              <w:t>acknowledges</w:t>
            </w:r>
            <w:r w:rsidRPr="00312092">
              <w:rPr>
                <w:lang w:val="en-GB"/>
              </w:rPr>
              <w:t xml:space="preserve"> </w:t>
            </w:r>
            <w:r w:rsidRPr="0014714A">
              <w:rPr>
                <w:lang w:val="en-GB"/>
              </w:rPr>
              <w:t>this</w:t>
            </w:r>
            <w:r w:rsidRPr="00312092">
              <w:rPr>
                <w:lang w:val="en-GB"/>
              </w:rPr>
              <w:t xml:space="preserve"> backward compatibility issue for a UE not supporting less than 5MHz but provided with a neighbour cell with SSB on the new GSCN value in the scenario described </w:t>
            </w:r>
            <w:r w:rsidRPr="0014714A">
              <w:rPr>
                <w:lang w:val="en-GB"/>
              </w:rPr>
              <w:t>in RAN1 LS.</w:t>
            </w:r>
            <w:r w:rsidRPr="00312092">
              <w:rPr>
                <w:lang w:val="en-GB"/>
              </w:rPr>
              <w:t xml:space="preserve"> </w:t>
            </w:r>
          </w:p>
          <w:p w14:paraId="341D189B" w14:textId="3756FEDF" w:rsidR="0014714A" w:rsidRDefault="0014714A" w:rsidP="0014714A">
            <w:pPr>
              <w:spacing w:after="120"/>
              <w:jc w:val="both"/>
            </w:pPr>
            <w:r w:rsidRPr="0014714A">
              <w:rPr>
                <w:b/>
                <w:bCs/>
                <w:lang w:val="en-GB"/>
              </w:rPr>
              <w:t xml:space="preserve">Answer to </w:t>
            </w:r>
            <w:r w:rsidRPr="00312092">
              <w:rPr>
                <w:b/>
                <w:bCs/>
                <w:lang w:val="en-GB"/>
              </w:rPr>
              <w:t>Question 2:</w:t>
            </w:r>
            <w:r w:rsidRPr="00312092">
              <w:rPr>
                <w:lang w:val="en-GB"/>
              </w:rPr>
              <w:t xml:space="preserve"> </w:t>
            </w:r>
            <w:r w:rsidRPr="0014714A">
              <w:rPr>
                <w:lang w:val="en-GB"/>
              </w:rPr>
              <w:t>RAN4 sincerely recommends</w:t>
            </w:r>
            <w:r w:rsidRPr="00312092">
              <w:rPr>
                <w:lang w:val="en-GB"/>
              </w:rPr>
              <w:t xml:space="preserve"> RAN2 to define a scheme to avoid </w:t>
            </w:r>
            <w:r w:rsidRPr="0014714A">
              <w:rPr>
                <w:lang w:val="en-GB"/>
              </w:rPr>
              <w:t>this</w:t>
            </w:r>
            <w:r w:rsidRPr="00312092">
              <w:rPr>
                <w:lang w:val="en-GB"/>
              </w:rPr>
              <w:t xml:space="preserve"> backward compatibility issue</w:t>
            </w:r>
            <w:r w:rsidRPr="0014714A">
              <w:rPr>
                <w:lang w:val="en-GB"/>
              </w:rPr>
              <w:t>.</w:t>
            </w:r>
          </w:p>
        </w:tc>
      </w:tr>
    </w:tbl>
    <w:p w14:paraId="4161FADB" w14:textId="3EB7EA5A" w:rsidR="00D22BDA" w:rsidRDefault="00D22BDA" w:rsidP="00D22BDA">
      <w:pPr>
        <w:spacing w:after="120"/>
        <w:jc w:val="both"/>
      </w:pPr>
      <w:r>
        <w:t xml:space="preserve"> </w:t>
      </w:r>
    </w:p>
    <w:p w14:paraId="0A8C7D07" w14:textId="37B7D1E8" w:rsidR="0014714A" w:rsidRPr="00312092" w:rsidRDefault="0014714A" w:rsidP="0014714A">
      <w:pPr>
        <w:spacing w:after="120"/>
        <w:jc w:val="both"/>
        <w:rPr>
          <w:b/>
          <w:bCs/>
          <w:i/>
          <w:iCs/>
        </w:rPr>
      </w:pPr>
      <w:r w:rsidRPr="00312092">
        <w:rPr>
          <w:b/>
          <w:bCs/>
          <w:i/>
          <w:iCs/>
          <w:lang w:val="en-GB"/>
        </w:rPr>
        <w:t xml:space="preserve">Proposal </w:t>
      </w:r>
      <w:r>
        <w:rPr>
          <w:b/>
          <w:bCs/>
          <w:i/>
          <w:iCs/>
          <w:lang w:val="en-GB"/>
        </w:rPr>
        <w:t>3</w:t>
      </w:r>
      <w:r w:rsidRPr="00312092">
        <w:rPr>
          <w:b/>
          <w:bCs/>
          <w:i/>
          <w:iCs/>
          <w:lang w:val="en-GB"/>
        </w:rPr>
        <w:t xml:space="preserve">: </w:t>
      </w:r>
      <w:r w:rsidRPr="0014714A">
        <w:rPr>
          <w:b/>
          <w:bCs/>
          <w:i/>
          <w:iCs/>
          <w:lang w:eastAsia="ko-KR"/>
        </w:rPr>
        <w:t>we propose the following replies</w:t>
      </w:r>
      <w:r>
        <w:rPr>
          <w:b/>
          <w:bCs/>
          <w:i/>
          <w:iCs/>
          <w:lang w:eastAsia="ko-KR"/>
        </w:rPr>
        <w:t xml:space="preserve">: </w:t>
      </w:r>
    </w:p>
    <w:p w14:paraId="72209B01" w14:textId="77777777" w:rsidR="0014714A" w:rsidRPr="00312092" w:rsidRDefault="0014714A" w:rsidP="0014714A">
      <w:pPr>
        <w:spacing w:after="120"/>
        <w:ind w:left="284"/>
        <w:jc w:val="both"/>
        <w:rPr>
          <w:b/>
          <w:bCs/>
          <w:i/>
          <w:iCs/>
          <w:lang w:val="en-GB"/>
        </w:rPr>
      </w:pPr>
      <w:r w:rsidRPr="0014714A">
        <w:rPr>
          <w:b/>
          <w:bCs/>
          <w:i/>
          <w:iCs/>
          <w:lang w:val="en-GB"/>
        </w:rPr>
        <w:t xml:space="preserve">Answer to </w:t>
      </w:r>
      <w:r w:rsidRPr="00312092">
        <w:rPr>
          <w:b/>
          <w:bCs/>
          <w:i/>
          <w:iCs/>
          <w:lang w:val="en-GB"/>
        </w:rPr>
        <w:t xml:space="preserve">Question 1: </w:t>
      </w:r>
      <w:r w:rsidRPr="0014714A">
        <w:rPr>
          <w:b/>
          <w:bCs/>
          <w:i/>
          <w:iCs/>
          <w:lang w:val="en-GB"/>
        </w:rPr>
        <w:t xml:space="preserve">Yes, </w:t>
      </w:r>
      <w:r w:rsidRPr="00312092">
        <w:rPr>
          <w:b/>
          <w:bCs/>
          <w:i/>
          <w:iCs/>
          <w:lang w:val="en-GB"/>
        </w:rPr>
        <w:t xml:space="preserve">RAN4 </w:t>
      </w:r>
      <w:r w:rsidRPr="0014714A">
        <w:rPr>
          <w:b/>
          <w:bCs/>
          <w:i/>
          <w:iCs/>
          <w:lang w:val="en-GB"/>
        </w:rPr>
        <w:t>acknowledges</w:t>
      </w:r>
      <w:r w:rsidRPr="00312092">
        <w:rPr>
          <w:b/>
          <w:bCs/>
          <w:i/>
          <w:iCs/>
          <w:lang w:val="en-GB"/>
        </w:rPr>
        <w:t xml:space="preserve"> </w:t>
      </w:r>
      <w:r w:rsidRPr="0014714A">
        <w:rPr>
          <w:b/>
          <w:bCs/>
          <w:i/>
          <w:iCs/>
          <w:lang w:val="en-GB"/>
        </w:rPr>
        <w:t>this</w:t>
      </w:r>
      <w:r w:rsidRPr="00312092">
        <w:rPr>
          <w:b/>
          <w:bCs/>
          <w:i/>
          <w:iCs/>
          <w:lang w:val="en-GB"/>
        </w:rPr>
        <w:t xml:space="preserve"> backward compatibility issue for a UE not supporting less than 5MHz but provided with a neighbour cell with SSB on the new GSCN value in the scenario described </w:t>
      </w:r>
      <w:r w:rsidRPr="0014714A">
        <w:rPr>
          <w:b/>
          <w:bCs/>
          <w:i/>
          <w:iCs/>
          <w:lang w:val="en-GB"/>
        </w:rPr>
        <w:t>in RAN1 LS.</w:t>
      </w:r>
      <w:r w:rsidRPr="00312092">
        <w:rPr>
          <w:b/>
          <w:bCs/>
          <w:i/>
          <w:iCs/>
          <w:lang w:val="en-GB"/>
        </w:rPr>
        <w:t xml:space="preserve"> </w:t>
      </w:r>
    </w:p>
    <w:p w14:paraId="151CBD07" w14:textId="67E758B7" w:rsidR="0014714A" w:rsidRPr="0014714A" w:rsidRDefault="0014714A" w:rsidP="0014714A">
      <w:pPr>
        <w:spacing w:after="120"/>
        <w:ind w:left="284"/>
        <w:jc w:val="both"/>
        <w:rPr>
          <w:b/>
          <w:bCs/>
          <w:i/>
          <w:iCs/>
        </w:rPr>
      </w:pPr>
      <w:r w:rsidRPr="0014714A">
        <w:rPr>
          <w:b/>
          <w:bCs/>
          <w:i/>
          <w:iCs/>
          <w:lang w:val="en-GB"/>
        </w:rPr>
        <w:lastRenderedPageBreak/>
        <w:t xml:space="preserve">Answer to </w:t>
      </w:r>
      <w:r w:rsidRPr="00312092">
        <w:rPr>
          <w:b/>
          <w:bCs/>
          <w:i/>
          <w:iCs/>
          <w:lang w:val="en-GB"/>
        </w:rPr>
        <w:t xml:space="preserve">Question 2: </w:t>
      </w:r>
      <w:r w:rsidRPr="0014714A">
        <w:rPr>
          <w:b/>
          <w:bCs/>
          <w:i/>
          <w:iCs/>
          <w:lang w:val="en-GB"/>
        </w:rPr>
        <w:t>RAN4 sincerely recommends</w:t>
      </w:r>
      <w:r w:rsidRPr="00312092">
        <w:rPr>
          <w:b/>
          <w:bCs/>
          <w:i/>
          <w:iCs/>
          <w:lang w:val="en-GB"/>
        </w:rPr>
        <w:t xml:space="preserve"> RAN2 to define a scheme to avoid </w:t>
      </w:r>
      <w:r w:rsidRPr="0014714A">
        <w:rPr>
          <w:b/>
          <w:bCs/>
          <w:i/>
          <w:iCs/>
          <w:lang w:val="en-GB"/>
        </w:rPr>
        <w:t>this</w:t>
      </w:r>
      <w:r w:rsidRPr="00312092">
        <w:rPr>
          <w:b/>
          <w:bCs/>
          <w:i/>
          <w:iCs/>
          <w:lang w:val="en-GB"/>
        </w:rPr>
        <w:t xml:space="preserve"> backward compatibility issue</w:t>
      </w:r>
      <w:r w:rsidRPr="0014714A">
        <w:rPr>
          <w:b/>
          <w:bCs/>
          <w:i/>
          <w:iCs/>
          <w:lang w:val="en-GB"/>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0F1FCFE4" w14:textId="77777777" w:rsidR="004F1F5F" w:rsidRDefault="004F1F5F" w:rsidP="00E06DD6">
      <w:pPr>
        <w:spacing w:after="180"/>
        <w:jc w:val="both"/>
      </w:pPr>
      <w:r>
        <w:t xml:space="preserve">In this contribution, we discuss the RRM impacts for the spectrum less than 5MHz. </w:t>
      </w:r>
    </w:p>
    <w:p w14:paraId="078B9078" w14:textId="77777777" w:rsidR="004E3B35" w:rsidRPr="007F6DB8" w:rsidRDefault="004E3B35" w:rsidP="004E3B35">
      <w:pPr>
        <w:spacing w:after="120"/>
        <w:jc w:val="both"/>
        <w:rPr>
          <w:b/>
          <w:bCs/>
          <w:i/>
          <w:iCs/>
        </w:rPr>
      </w:pPr>
      <w:r w:rsidRPr="00312092">
        <w:rPr>
          <w:b/>
          <w:bCs/>
          <w:i/>
          <w:iCs/>
          <w:lang w:val="en-GB"/>
        </w:rPr>
        <w:t xml:space="preserve">Proposal </w:t>
      </w:r>
      <w:r>
        <w:rPr>
          <w:b/>
          <w:bCs/>
          <w:i/>
          <w:iCs/>
          <w:lang w:val="en-GB"/>
        </w:rPr>
        <w:t>1</w:t>
      </w:r>
      <w:r w:rsidRPr="00312092">
        <w:rPr>
          <w:b/>
          <w:bCs/>
          <w:i/>
          <w:iCs/>
          <w:lang w:val="en-GB"/>
        </w:rPr>
        <w:t xml:space="preserve">: </w:t>
      </w:r>
      <w:r>
        <w:rPr>
          <w:b/>
          <w:bCs/>
          <w:i/>
          <w:iCs/>
          <w:lang w:eastAsia="ko-KR"/>
        </w:rPr>
        <w:t xml:space="preserve">Recommend companies to consider whether it </w:t>
      </w:r>
      <w:r w:rsidRPr="007F6DB8">
        <w:rPr>
          <w:b/>
          <w:bCs/>
          <w:i/>
          <w:iCs/>
          <w:lang w:eastAsia="ko-KR"/>
        </w:rPr>
        <w:t xml:space="preserve">would make more sense to use the actual interleaving configured by network during the RLM evaluation in </w:t>
      </w:r>
      <w:r>
        <w:rPr>
          <w:b/>
          <w:bCs/>
          <w:i/>
          <w:iCs/>
          <w:lang w:eastAsia="ko-KR"/>
        </w:rPr>
        <w:t>15PRB case for 3MHz CBW</w:t>
      </w:r>
      <w:r w:rsidRPr="00312092">
        <w:rPr>
          <w:b/>
          <w:bCs/>
          <w:i/>
          <w:iCs/>
          <w:lang w:eastAsia="ko-KR"/>
        </w:rPr>
        <w:t>.</w:t>
      </w:r>
    </w:p>
    <w:p w14:paraId="56242AE5" w14:textId="77777777" w:rsidR="0014714A" w:rsidRDefault="0014714A" w:rsidP="0014714A">
      <w:pPr>
        <w:spacing w:after="120"/>
        <w:jc w:val="both"/>
        <w:rPr>
          <w:b/>
          <w:bCs/>
          <w:i/>
          <w:iCs/>
          <w:lang w:eastAsia="ko-KR"/>
        </w:rPr>
      </w:pPr>
      <w:r w:rsidRPr="00312092">
        <w:rPr>
          <w:b/>
          <w:bCs/>
          <w:i/>
          <w:iCs/>
          <w:lang w:val="en-GB"/>
        </w:rPr>
        <w:t xml:space="preserve">Proposal 2: </w:t>
      </w:r>
      <w:r w:rsidRPr="00312092">
        <w:rPr>
          <w:b/>
          <w:bCs/>
          <w:i/>
          <w:iCs/>
          <w:lang w:eastAsia="ko-KR"/>
        </w:rPr>
        <w:t>For a UE which supports less than 5MHz CBW, RAN4 to introduce a new section referring to the applicable requirements for rel-18.</w:t>
      </w:r>
    </w:p>
    <w:p w14:paraId="308F68DD" w14:textId="77777777" w:rsidR="0014714A" w:rsidRPr="00312092" w:rsidRDefault="0014714A" w:rsidP="0014714A">
      <w:pPr>
        <w:spacing w:after="120"/>
        <w:jc w:val="both"/>
        <w:rPr>
          <w:b/>
          <w:bCs/>
          <w:i/>
          <w:iCs/>
        </w:rPr>
      </w:pPr>
      <w:r w:rsidRPr="00312092">
        <w:rPr>
          <w:b/>
          <w:bCs/>
          <w:i/>
          <w:iCs/>
          <w:lang w:val="en-GB"/>
        </w:rPr>
        <w:t xml:space="preserve">Proposal </w:t>
      </w:r>
      <w:r>
        <w:rPr>
          <w:b/>
          <w:bCs/>
          <w:i/>
          <w:iCs/>
          <w:lang w:val="en-GB"/>
        </w:rPr>
        <w:t>3</w:t>
      </w:r>
      <w:r w:rsidRPr="00312092">
        <w:rPr>
          <w:b/>
          <w:bCs/>
          <w:i/>
          <w:iCs/>
          <w:lang w:val="en-GB"/>
        </w:rPr>
        <w:t xml:space="preserve">: </w:t>
      </w:r>
      <w:r w:rsidRPr="0014714A">
        <w:rPr>
          <w:b/>
          <w:bCs/>
          <w:i/>
          <w:iCs/>
          <w:lang w:eastAsia="ko-KR"/>
        </w:rPr>
        <w:t>we propose the following replies</w:t>
      </w:r>
      <w:r>
        <w:rPr>
          <w:b/>
          <w:bCs/>
          <w:i/>
          <w:iCs/>
          <w:lang w:eastAsia="ko-KR"/>
        </w:rPr>
        <w:t xml:space="preserve">: </w:t>
      </w:r>
    </w:p>
    <w:p w14:paraId="08B6B796" w14:textId="77777777" w:rsidR="0014714A" w:rsidRPr="00312092" w:rsidRDefault="0014714A" w:rsidP="0014714A">
      <w:pPr>
        <w:spacing w:after="120"/>
        <w:ind w:left="284"/>
        <w:jc w:val="both"/>
        <w:rPr>
          <w:b/>
          <w:bCs/>
          <w:i/>
          <w:iCs/>
          <w:lang w:val="en-GB"/>
        </w:rPr>
      </w:pPr>
      <w:r w:rsidRPr="0014714A">
        <w:rPr>
          <w:b/>
          <w:bCs/>
          <w:i/>
          <w:iCs/>
          <w:lang w:val="en-GB"/>
        </w:rPr>
        <w:t xml:space="preserve">Answer to </w:t>
      </w:r>
      <w:r w:rsidRPr="00312092">
        <w:rPr>
          <w:b/>
          <w:bCs/>
          <w:i/>
          <w:iCs/>
          <w:lang w:val="en-GB"/>
        </w:rPr>
        <w:t xml:space="preserve">Question 1: </w:t>
      </w:r>
      <w:r w:rsidRPr="0014714A">
        <w:rPr>
          <w:b/>
          <w:bCs/>
          <w:i/>
          <w:iCs/>
          <w:lang w:val="en-GB"/>
        </w:rPr>
        <w:t xml:space="preserve">Yes, </w:t>
      </w:r>
      <w:r w:rsidRPr="00312092">
        <w:rPr>
          <w:b/>
          <w:bCs/>
          <w:i/>
          <w:iCs/>
          <w:lang w:val="en-GB"/>
        </w:rPr>
        <w:t xml:space="preserve">RAN4 </w:t>
      </w:r>
      <w:r w:rsidRPr="0014714A">
        <w:rPr>
          <w:b/>
          <w:bCs/>
          <w:i/>
          <w:iCs/>
          <w:lang w:val="en-GB"/>
        </w:rPr>
        <w:t>acknowledges</w:t>
      </w:r>
      <w:r w:rsidRPr="00312092">
        <w:rPr>
          <w:b/>
          <w:bCs/>
          <w:i/>
          <w:iCs/>
          <w:lang w:val="en-GB"/>
        </w:rPr>
        <w:t xml:space="preserve"> </w:t>
      </w:r>
      <w:r w:rsidRPr="0014714A">
        <w:rPr>
          <w:b/>
          <w:bCs/>
          <w:i/>
          <w:iCs/>
          <w:lang w:val="en-GB"/>
        </w:rPr>
        <w:t>this</w:t>
      </w:r>
      <w:r w:rsidRPr="00312092">
        <w:rPr>
          <w:b/>
          <w:bCs/>
          <w:i/>
          <w:iCs/>
          <w:lang w:val="en-GB"/>
        </w:rPr>
        <w:t xml:space="preserve"> backward compatibility issue for a UE not supporting less than 5MHz but provided with a neighbour cell with SSB on the new GSCN value in the scenario described </w:t>
      </w:r>
      <w:r w:rsidRPr="0014714A">
        <w:rPr>
          <w:b/>
          <w:bCs/>
          <w:i/>
          <w:iCs/>
          <w:lang w:val="en-GB"/>
        </w:rPr>
        <w:t>in RAN1 LS.</w:t>
      </w:r>
      <w:r w:rsidRPr="00312092">
        <w:rPr>
          <w:b/>
          <w:bCs/>
          <w:i/>
          <w:iCs/>
          <w:lang w:val="en-GB"/>
        </w:rPr>
        <w:t xml:space="preserve"> </w:t>
      </w:r>
    </w:p>
    <w:p w14:paraId="743386BD" w14:textId="4C0C9003" w:rsidR="0014714A" w:rsidRPr="0014714A" w:rsidRDefault="0014714A" w:rsidP="0014714A">
      <w:pPr>
        <w:spacing w:after="120"/>
        <w:ind w:left="284"/>
        <w:jc w:val="both"/>
        <w:rPr>
          <w:b/>
          <w:bCs/>
          <w:i/>
          <w:iCs/>
        </w:rPr>
      </w:pPr>
      <w:r w:rsidRPr="0014714A">
        <w:rPr>
          <w:b/>
          <w:bCs/>
          <w:i/>
          <w:iCs/>
          <w:lang w:val="en-GB"/>
        </w:rPr>
        <w:t xml:space="preserve">Answer to </w:t>
      </w:r>
      <w:r w:rsidRPr="00312092">
        <w:rPr>
          <w:b/>
          <w:bCs/>
          <w:i/>
          <w:iCs/>
          <w:lang w:val="en-GB"/>
        </w:rPr>
        <w:t xml:space="preserve">Question 2: </w:t>
      </w:r>
      <w:r w:rsidRPr="0014714A">
        <w:rPr>
          <w:b/>
          <w:bCs/>
          <w:i/>
          <w:iCs/>
          <w:lang w:val="en-GB"/>
        </w:rPr>
        <w:t>RAN4 sincerely recommends</w:t>
      </w:r>
      <w:r w:rsidRPr="00312092">
        <w:rPr>
          <w:b/>
          <w:bCs/>
          <w:i/>
          <w:iCs/>
          <w:lang w:val="en-GB"/>
        </w:rPr>
        <w:t xml:space="preserve"> RAN2 to define a scheme to avoid </w:t>
      </w:r>
      <w:r w:rsidRPr="0014714A">
        <w:rPr>
          <w:b/>
          <w:bCs/>
          <w:i/>
          <w:iCs/>
          <w:lang w:val="en-GB"/>
        </w:rPr>
        <w:t>this</w:t>
      </w:r>
      <w:r w:rsidRPr="00312092">
        <w:rPr>
          <w:b/>
          <w:bCs/>
          <w:i/>
          <w:iCs/>
          <w:lang w:val="en-GB"/>
        </w:rPr>
        <w:t xml:space="preserve"> backward compatibility issue</w:t>
      </w:r>
      <w:r w:rsidRPr="0014714A">
        <w:rPr>
          <w:b/>
          <w:bCs/>
          <w:i/>
          <w:iCs/>
          <w:lang w:val="en-GB"/>
        </w:rPr>
        <w:t>.</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3D286BC5" w14:textId="6C05646E" w:rsidR="00852530" w:rsidRDefault="00A74337" w:rsidP="00623201">
      <w:pPr>
        <w:jc w:val="both"/>
        <w:rPr>
          <w:rFonts w:cs="Arial"/>
        </w:rPr>
      </w:pPr>
      <w:r>
        <w:t xml:space="preserve">[1] </w:t>
      </w:r>
      <w:r w:rsidR="00962CBD" w:rsidRPr="00962CBD">
        <w:rPr>
          <w:rFonts w:cs="Arial"/>
        </w:rPr>
        <w:t>R4-2321629</w:t>
      </w:r>
      <w:r w:rsidR="00623201" w:rsidRPr="00623201">
        <w:rPr>
          <w:rFonts w:cs="Arial"/>
        </w:rPr>
        <w:t xml:space="preserve">, </w:t>
      </w:r>
      <w:r w:rsidR="00962CBD" w:rsidRPr="00962CBD">
        <w:rPr>
          <w:rFonts w:cs="Arial"/>
        </w:rPr>
        <w:t>WF on NR_FR1_lessthan_5MHz_BW WI</w:t>
      </w:r>
      <w:r w:rsidR="00623201" w:rsidRPr="00623201">
        <w:rPr>
          <w:rFonts w:cs="Arial"/>
        </w:rPr>
        <w:t>, Nokia</w:t>
      </w:r>
      <w:r w:rsidR="00623201">
        <w:rPr>
          <w:rFonts w:cs="Arial"/>
        </w:rPr>
        <w:t>, RAN4#</w:t>
      </w:r>
      <w:r w:rsidR="008D0AC1">
        <w:rPr>
          <w:rFonts w:cs="Arial"/>
        </w:rPr>
        <w:t>10</w:t>
      </w:r>
      <w:r w:rsidR="00962CBD">
        <w:rPr>
          <w:rFonts w:cs="Arial"/>
        </w:rPr>
        <w:t>9</w:t>
      </w:r>
    </w:p>
    <w:p w14:paraId="59555507" w14:textId="078F02E6" w:rsidR="00973193" w:rsidRDefault="00973193" w:rsidP="00623201">
      <w:pPr>
        <w:jc w:val="both"/>
        <w:rPr>
          <w:rFonts w:cs="Arial"/>
        </w:rPr>
      </w:pPr>
      <w:r>
        <w:rPr>
          <w:rFonts w:cs="Arial"/>
        </w:rPr>
        <w:t xml:space="preserve">[2] </w:t>
      </w:r>
      <w:r w:rsidRPr="00973193">
        <w:rPr>
          <w:rFonts w:cs="Arial"/>
        </w:rPr>
        <w:t>R4-2400012</w:t>
      </w:r>
      <w:r w:rsidR="00C7435A">
        <w:rPr>
          <w:rFonts w:cs="Arial"/>
        </w:rPr>
        <w:t xml:space="preserve">, </w:t>
      </w:r>
      <w:r w:rsidR="00C7435A" w:rsidRPr="00C7435A">
        <w:rPr>
          <w:rFonts w:cs="Arial"/>
        </w:rPr>
        <w:t xml:space="preserve">LS on inter-frequency </w:t>
      </w:r>
      <w:proofErr w:type="spellStart"/>
      <w:r w:rsidR="00C7435A" w:rsidRPr="00C7435A">
        <w:rPr>
          <w:rFonts w:cs="Arial"/>
        </w:rPr>
        <w:t>neighbour</w:t>
      </w:r>
      <w:proofErr w:type="spellEnd"/>
      <w:r w:rsidR="00C7435A" w:rsidRPr="00C7435A">
        <w:rPr>
          <w:rFonts w:cs="Arial"/>
        </w:rPr>
        <w:t xml:space="preserve"> cells supporting NR dedicated spectrum less than 5 MHz for FR1</w:t>
      </w:r>
      <w:r w:rsidR="00C7435A">
        <w:rPr>
          <w:rFonts w:cs="Arial"/>
        </w:rPr>
        <w:t>, Qualcomm, RAN1#115</w:t>
      </w:r>
    </w:p>
    <w:p w14:paraId="0405F9FA" w14:textId="3FE9A2A6" w:rsidR="00D35F98" w:rsidRDefault="00D35F98" w:rsidP="00623201">
      <w:pPr>
        <w:jc w:val="both"/>
        <w:rPr>
          <w:rFonts w:cs="Arial"/>
        </w:rPr>
      </w:pPr>
      <w:r>
        <w:rPr>
          <w:rFonts w:cs="Arial"/>
        </w:rPr>
        <w:t xml:space="preserve">[3] </w:t>
      </w:r>
      <w:r w:rsidRPr="00D35F98">
        <w:rPr>
          <w:rFonts w:cs="Arial"/>
        </w:rPr>
        <w:t>R4-2316607</w:t>
      </w:r>
      <w:r>
        <w:rPr>
          <w:rFonts w:cs="Arial"/>
        </w:rPr>
        <w:t xml:space="preserve">, </w:t>
      </w:r>
      <w:r w:rsidRPr="00D35F98">
        <w:rPr>
          <w:rFonts w:cs="Arial"/>
        </w:rPr>
        <w:t>Discussion on &lt; 5MHz RRM core requirements</w:t>
      </w:r>
      <w:r>
        <w:rPr>
          <w:rFonts w:cs="Arial"/>
        </w:rPr>
        <w:t>, Nokia, RAN4#108bis</w:t>
      </w:r>
    </w:p>
    <w:sectPr w:rsidR="00D35F98" w:rsidSect="00EC5AF1">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B29CB" w14:textId="77777777" w:rsidR="00EC5AF1" w:rsidRDefault="00EC5AF1">
      <w:r>
        <w:separator/>
      </w:r>
    </w:p>
  </w:endnote>
  <w:endnote w:type="continuationSeparator" w:id="0">
    <w:p w14:paraId="45538A15" w14:textId="77777777" w:rsidR="00EC5AF1" w:rsidRDefault="00EC5AF1">
      <w:r>
        <w:continuationSeparator/>
      </w:r>
    </w:p>
  </w:endnote>
  <w:endnote w:type="continuationNotice" w:id="1">
    <w:p w14:paraId="615BA91A" w14:textId="77777777" w:rsidR="00EC5AF1" w:rsidRDefault="00EC5A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 ??">
    <w:altName w:val="MS Gothic"/>
    <w:panose1 w:val="020B06040202020202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D8A5A" w14:textId="77777777" w:rsidR="00EC5AF1" w:rsidRDefault="00EC5AF1">
      <w:r>
        <w:separator/>
      </w:r>
    </w:p>
  </w:footnote>
  <w:footnote w:type="continuationSeparator" w:id="0">
    <w:p w14:paraId="75EB983C" w14:textId="77777777" w:rsidR="00EC5AF1" w:rsidRDefault="00EC5AF1">
      <w:r>
        <w:continuationSeparator/>
      </w:r>
    </w:p>
  </w:footnote>
  <w:footnote w:type="continuationNotice" w:id="1">
    <w:p w14:paraId="242CA186" w14:textId="77777777" w:rsidR="00EC5AF1" w:rsidRDefault="00EC5A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FD1072"/>
    <w:multiLevelType w:val="hybridMultilevel"/>
    <w:tmpl w:val="1A9E8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6A7"/>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EEC78CA"/>
    <w:multiLevelType w:val="hybridMultilevel"/>
    <w:tmpl w:val="4622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A42E49"/>
    <w:multiLevelType w:val="hybridMultilevel"/>
    <w:tmpl w:val="BACCD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0C23FB"/>
    <w:multiLevelType w:val="hybridMultilevel"/>
    <w:tmpl w:val="2F3EC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20150D3"/>
    <w:multiLevelType w:val="hybridMultilevel"/>
    <w:tmpl w:val="F65833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2700076"/>
    <w:multiLevelType w:val="hybridMultilevel"/>
    <w:tmpl w:val="1404371A"/>
    <w:lvl w:ilvl="0" w:tplc="D6B2F0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0" w15:restartNumberingAfterBreak="0">
    <w:nsid w:val="4AA154E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CB57A82"/>
    <w:multiLevelType w:val="hybridMultilevel"/>
    <w:tmpl w:val="369A3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EC10489"/>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220305"/>
    <w:multiLevelType w:val="hybridMultilevel"/>
    <w:tmpl w:val="BAAE404E"/>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35"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11C3576"/>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6B630E68"/>
    <w:multiLevelType w:val="hybridMultilevel"/>
    <w:tmpl w:val="BA40D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7"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944F48"/>
    <w:multiLevelType w:val="hybridMultilevel"/>
    <w:tmpl w:val="573853CA"/>
    <w:lvl w:ilvl="0" w:tplc="FFFFFFFF">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4B741714">
      <w:numFmt w:val="bullet"/>
      <w:lvlText w:val="-"/>
      <w:lvlJc w:val="left"/>
      <w:pPr>
        <w:ind w:left="360" w:hanging="360"/>
      </w:pPr>
      <w:rPr>
        <w:rFonts w:ascii="Arial" w:eastAsiaTheme="minorHAnsi" w:hAnsi="Arial" w:cs="Arial"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0" w15:restartNumberingAfterBreak="0">
    <w:nsid w:val="72811D90"/>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622C9F"/>
    <w:multiLevelType w:val="hybridMultilevel"/>
    <w:tmpl w:val="351A8E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4A2502"/>
    <w:multiLevelType w:val="hybridMultilevel"/>
    <w:tmpl w:val="56DEFA20"/>
    <w:lvl w:ilvl="0" w:tplc="0EFC465A">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8"/>
  </w:num>
  <w:num w:numId="5" w16cid:durableId="19949176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3"/>
  </w:num>
  <w:num w:numId="8" w16cid:durableId="66853061">
    <w:abstractNumId w:val="6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7"/>
  </w:num>
  <w:num w:numId="11" w16cid:durableId="658192778">
    <w:abstractNumId w:val="49"/>
  </w:num>
  <w:num w:numId="12" w16cid:durableId="1683971953">
    <w:abstractNumId w:val="36"/>
  </w:num>
  <w:num w:numId="13" w16cid:durableId="1802336773">
    <w:abstractNumId w:val="51"/>
  </w:num>
  <w:num w:numId="14" w16cid:durableId="183179212">
    <w:abstractNumId w:val="11"/>
  </w:num>
  <w:num w:numId="15" w16cid:durableId="101072845">
    <w:abstractNumId w:val="3"/>
  </w:num>
  <w:num w:numId="16" w16cid:durableId="1671985423">
    <w:abstractNumId w:val="59"/>
  </w:num>
  <w:num w:numId="17" w16cid:durableId="527718403">
    <w:abstractNumId w:val="8"/>
  </w:num>
  <w:num w:numId="18" w16cid:durableId="336426665">
    <w:abstractNumId w:val="41"/>
  </w:num>
  <w:num w:numId="19" w16cid:durableId="314071016">
    <w:abstractNumId w:val="5"/>
  </w:num>
  <w:num w:numId="20" w16cid:durableId="254241833">
    <w:abstractNumId w:val="14"/>
  </w:num>
  <w:num w:numId="21" w16cid:durableId="2056931042">
    <w:abstractNumId w:val="35"/>
  </w:num>
  <w:num w:numId="22" w16cid:durableId="277881800">
    <w:abstractNumId w:val="38"/>
  </w:num>
  <w:num w:numId="23" w16cid:durableId="2121104171">
    <w:abstractNumId w:val="21"/>
  </w:num>
  <w:num w:numId="24" w16cid:durableId="1956054883">
    <w:abstractNumId w:val="16"/>
  </w:num>
  <w:num w:numId="25" w16cid:durableId="1143275559">
    <w:abstractNumId w:val="26"/>
  </w:num>
  <w:num w:numId="26" w16cid:durableId="337998213">
    <w:abstractNumId w:val="28"/>
  </w:num>
  <w:num w:numId="27" w16cid:durableId="753867088">
    <w:abstractNumId w:val="19"/>
  </w:num>
  <w:num w:numId="28" w16cid:durableId="1388605013">
    <w:abstractNumId w:val="17"/>
  </w:num>
  <w:num w:numId="29" w16cid:durableId="1194684424">
    <w:abstractNumId w:val="29"/>
  </w:num>
  <w:num w:numId="30" w16cid:durableId="195780968">
    <w:abstractNumId w:val="42"/>
  </w:num>
  <w:num w:numId="31" w16cid:durableId="43145658">
    <w:abstractNumId w:val="37"/>
  </w:num>
  <w:num w:numId="32" w16cid:durableId="840119956">
    <w:abstractNumId w:val="56"/>
  </w:num>
  <w:num w:numId="33" w16cid:durableId="788086887">
    <w:abstractNumId w:val="47"/>
  </w:num>
  <w:num w:numId="34" w16cid:durableId="1075589885">
    <w:abstractNumId w:val="20"/>
  </w:num>
  <w:num w:numId="35" w16cid:durableId="1071587299">
    <w:abstractNumId w:val="52"/>
  </w:num>
  <w:num w:numId="36" w16cid:durableId="1091851232">
    <w:abstractNumId w:val="44"/>
  </w:num>
  <w:num w:numId="37" w16cid:durableId="1931697551">
    <w:abstractNumId w:val="18"/>
  </w:num>
  <w:num w:numId="38" w16cid:durableId="1849905691">
    <w:abstractNumId w:val="39"/>
  </w:num>
  <w:num w:numId="39" w16cid:durableId="276916249">
    <w:abstractNumId w:val="54"/>
  </w:num>
  <w:num w:numId="40" w16cid:durableId="1740982222">
    <w:abstractNumId w:val="0"/>
  </w:num>
  <w:num w:numId="41" w16cid:durableId="1616331436">
    <w:abstractNumId w:val="10"/>
  </w:num>
  <w:num w:numId="42" w16cid:durableId="49571864">
    <w:abstractNumId w:val="40"/>
  </w:num>
  <w:num w:numId="43" w16cid:durableId="1046178471">
    <w:abstractNumId w:val="30"/>
  </w:num>
  <w:num w:numId="44" w16cid:durableId="1662586650">
    <w:abstractNumId w:val="50"/>
  </w:num>
  <w:num w:numId="45" w16cid:durableId="64229752">
    <w:abstractNumId w:val="32"/>
  </w:num>
  <w:num w:numId="46" w16cid:durableId="1684892477">
    <w:abstractNumId w:val="2"/>
  </w:num>
  <w:num w:numId="47" w16cid:durableId="1225221103">
    <w:abstractNumId w:val="55"/>
  </w:num>
  <w:num w:numId="48" w16cid:durableId="1750350726">
    <w:abstractNumId w:val="43"/>
  </w:num>
  <w:num w:numId="49" w16cid:durableId="841552317">
    <w:abstractNumId w:val="13"/>
  </w:num>
  <w:num w:numId="50" w16cid:durableId="744836113">
    <w:abstractNumId w:val="9"/>
  </w:num>
  <w:num w:numId="51" w16cid:durableId="1114596956">
    <w:abstractNumId w:val="48"/>
  </w:num>
  <w:num w:numId="52" w16cid:durableId="1553497880">
    <w:abstractNumId w:val="34"/>
  </w:num>
  <w:num w:numId="53" w16cid:durableId="2070499383">
    <w:abstractNumId w:val="12"/>
  </w:num>
  <w:num w:numId="54" w16cid:durableId="349377422">
    <w:abstractNumId w:val="45"/>
  </w:num>
  <w:num w:numId="55" w16cid:durableId="1957447782">
    <w:abstractNumId w:val="53"/>
  </w:num>
  <w:num w:numId="56" w16cid:durableId="704253974">
    <w:abstractNumId w:val="24"/>
  </w:num>
  <w:num w:numId="57" w16cid:durableId="1617760843">
    <w:abstractNumId w:val="57"/>
  </w:num>
  <w:num w:numId="58" w16cid:durableId="52777206">
    <w:abstractNumId w:val="15"/>
  </w:num>
  <w:num w:numId="59" w16cid:durableId="1385106040">
    <w:abstractNumId w:val="25"/>
  </w:num>
  <w:num w:numId="60" w16cid:durableId="1320882782">
    <w:abstractNumId w:val="23"/>
  </w:num>
  <w:num w:numId="61" w16cid:durableId="1591695254">
    <w:abstractNumId w:val="31"/>
  </w:num>
  <w:num w:numId="62" w16cid:durableId="2019500336">
    <w:abstractNumId w:val="27"/>
  </w:num>
  <w:num w:numId="63" w16cid:durableId="49816024">
    <w:abstractNumId w:val="4"/>
  </w:num>
  <w:num w:numId="64" w16cid:durableId="1923488016">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fi-FI"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1C2"/>
    <w:rsid w:val="000172F0"/>
    <w:rsid w:val="000176F5"/>
    <w:rsid w:val="0002052C"/>
    <w:rsid w:val="00021743"/>
    <w:rsid w:val="00021CAE"/>
    <w:rsid w:val="00021F19"/>
    <w:rsid w:val="000224EE"/>
    <w:rsid w:val="0002357C"/>
    <w:rsid w:val="00023938"/>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566A"/>
    <w:rsid w:val="0005634C"/>
    <w:rsid w:val="00056D35"/>
    <w:rsid w:val="00056E8E"/>
    <w:rsid w:val="00056EDD"/>
    <w:rsid w:val="00056FBB"/>
    <w:rsid w:val="0005737D"/>
    <w:rsid w:val="000578FA"/>
    <w:rsid w:val="00057DED"/>
    <w:rsid w:val="00060CF2"/>
    <w:rsid w:val="00060EEF"/>
    <w:rsid w:val="00061260"/>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4F7"/>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161"/>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2ED3"/>
    <w:rsid w:val="000A35F8"/>
    <w:rsid w:val="000A3C2D"/>
    <w:rsid w:val="000A3E09"/>
    <w:rsid w:val="000A505A"/>
    <w:rsid w:val="000A50F7"/>
    <w:rsid w:val="000A595A"/>
    <w:rsid w:val="000A59EA"/>
    <w:rsid w:val="000A5B2E"/>
    <w:rsid w:val="000A67D0"/>
    <w:rsid w:val="000A70F3"/>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0C7"/>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5B"/>
    <w:rsid w:val="001151B7"/>
    <w:rsid w:val="001163EF"/>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3D7F"/>
    <w:rsid w:val="001346E3"/>
    <w:rsid w:val="001352B6"/>
    <w:rsid w:val="00136107"/>
    <w:rsid w:val="00136139"/>
    <w:rsid w:val="001378DE"/>
    <w:rsid w:val="00137A3D"/>
    <w:rsid w:val="00140968"/>
    <w:rsid w:val="00141629"/>
    <w:rsid w:val="0014290C"/>
    <w:rsid w:val="001430BB"/>
    <w:rsid w:val="001439CF"/>
    <w:rsid w:val="00143BB0"/>
    <w:rsid w:val="00143C56"/>
    <w:rsid w:val="001441F2"/>
    <w:rsid w:val="00144477"/>
    <w:rsid w:val="00144603"/>
    <w:rsid w:val="0014497D"/>
    <w:rsid w:val="00144C0E"/>
    <w:rsid w:val="001453C5"/>
    <w:rsid w:val="001467D0"/>
    <w:rsid w:val="0014714A"/>
    <w:rsid w:val="00150143"/>
    <w:rsid w:val="001503B6"/>
    <w:rsid w:val="001509D8"/>
    <w:rsid w:val="0015142D"/>
    <w:rsid w:val="001517B5"/>
    <w:rsid w:val="00151C6B"/>
    <w:rsid w:val="001532F8"/>
    <w:rsid w:val="0015382B"/>
    <w:rsid w:val="0015416A"/>
    <w:rsid w:val="00154365"/>
    <w:rsid w:val="001543DB"/>
    <w:rsid w:val="001548D9"/>
    <w:rsid w:val="00155751"/>
    <w:rsid w:val="0015749B"/>
    <w:rsid w:val="0016034B"/>
    <w:rsid w:val="00161C57"/>
    <w:rsid w:val="00161DEF"/>
    <w:rsid w:val="001623E4"/>
    <w:rsid w:val="001629DA"/>
    <w:rsid w:val="00162B0D"/>
    <w:rsid w:val="00163FF3"/>
    <w:rsid w:val="001643D5"/>
    <w:rsid w:val="00164C45"/>
    <w:rsid w:val="001650A1"/>
    <w:rsid w:val="00165DF0"/>
    <w:rsid w:val="001662C9"/>
    <w:rsid w:val="00166B14"/>
    <w:rsid w:val="0016767B"/>
    <w:rsid w:val="00167741"/>
    <w:rsid w:val="00167810"/>
    <w:rsid w:val="001679A5"/>
    <w:rsid w:val="00167C91"/>
    <w:rsid w:val="00167F60"/>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28B2"/>
    <w:rsid w:val="001B3EE1"/>
    <w:rsid w:val="001B50A5"/>
    <w:rsid w:val="001B7401"/>
    <w:rsid w:val="001B7745"/>
    <w:rsid w:val="001B7CFB"/>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15B"/>
    <w:rsid w:val="001D6F61"/>
    <w:rsid w:val="001D714B"/>
    <w:rsid w:val="001D799B"/>
    <w:rsid w:val="001D7A0D"/>
    <w:rsid w:val="001D7CC1"/>
    <w:rsid w:val="001E03E0"/>
    <w:rsid w:val="001E0729"/>
    <w:rsid w:val="001E0A98"/>
    <w:rsid w:val="001E112D"/>
    <w:rsid w:val="001E1743"/>
    <w:rsid w:val="001E1B43"/>
    <w:rsid w:val="001E1F4D"/>
    <w:rsid w:val="001E2D80"/>
    <w:rsid w:val="001E3C5E"/>
    <w:rsid w:val="001E3C7F"/>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2EB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415"/>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2FAC"/>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58B"/>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584"/>
    <w:rsid w:val="002A1601"/>
    <w:rsid w:val="002A1CF7"/>
    <w:rsid w:val="002A1F2B"/>
    <w:rsid w:val="002A2A7B"/>
    <w:rsid w:val="002A2F03"/>
    <w:rsid w:val="002A30EE"/>
    <w:rsid w:val="002A352B"/>
    <w:rsid w:val="002A42F8"/>
    <w:rsid w:val="002A4EB3"/>
    <w:rsid w:val="002A5B38"/>
    <w:rsid w:val="002A7A85"/>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C6CBF"/>
    <w:rsid w:val="002C7EFA"/>
    <w:rsid w:val="002D1506"/>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6BD0"/>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5F6"/>
    <w:rsid w:val="00311897"/>
    <w:rsid w:val="00312092"/>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5D4C"/>
    <w:rsid w:val="00336382"/>
    <w:rsid w:val="0033771F"/>
    <w:rsid w:val="00337C0E"/>
    <w:rsid w:val="00340357"/>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9D5"/>
    <w:rsid w:val="003D5DEA"/>
    <w:rsid w:val="003D5E81"/>
    <w:rsid w:val="003D6073"/>
    <w:rsid w:val="003D64C4"/>
    <w:rsid w:val="003D753D"/>
    <w:rsid w:val="003E1B1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A05"/>
    <w:rsid w:val="00424BCF"/>
    <w:rsid w:val="00424EAD"/>
    <w:rsid w:val="00425883"/>
    <w:rsid w:val="00426079"/>
    <w:rsid w:val="00426096"/>
    <w:rsid w:val="004261CD"/>
    <w:rsid w:val="004265AA"/>
    <w:rsid w:val="0042688A"/>
    <w:rsid w:val="00427BF8"/>
    <w:rsid w:val="0043008B"/>
    <w:rsid w:val="0043093F"/>
    <w:rsid w:val="00431A03"/>
    <w:rsid w:val="004329E6"/>
    <w:rsid w:val="00432BF2"/>
    <w:rsid w:val="00434F6B"/>
    <w:rsid w:val="0043558F"/>
    <w:rsid w:val="00437054"/>
    <w:rsid w:val="004405DB"/>
    <w:rsid w:val="00440AC3"/>
    <w:rsid w:val="00440D7A"/>
    <w:rsid w:val="00440EA2"/>
    <w:rsid w:val="004410AD"/>
    <w:rsid w:val="00441909"/>
    <w:rsid w:val="00441AC0"/>
    <w:rsid w:val="00442549"/>
    <w:rsid w:val="0044493E"/>
    <w:rsid w:val="00444F50"/>
    <w:rsid w:val="004458AE"/>
    <w:rsid w:val="00446921"/>
    <w:rsid w:val="004505D5"/>
    <w:rsid w:val="004508F4"/>
    <w:rsid w:val="0045163F"/>
    <w:rsid w:val="00451FC4"/>
    <w:rsid w:val="00452702"/>
    <w:rsid w:val="004530B2"/>
    <w:rsid w:val="00454FEA"/>
    <w:rsid w:val="004564B4"/>
    <w:rsid w:val="004570AC"/>
    <w:rsid w:val="00457CEC"/>
    <w:rsid w:val="00457D58"/>
    <w:rsid w:val="004611DF"/>
    <w:rsid w:val="0046122B"/>
    <w:rsid w:val="00461410"/>
    <w:rsid w:val="00462401"/>
    <w:rsid w:val="00463D7D"/>
    <w:rsid w:val="00463EFD"/>
    <w:rsid w:val="00464634"/>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032"/>
    <w:rsid w:val="004A34D3"/>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35"/>
    <w:rsid w:val="004E3B4B"/>
    <w:rsid w:val="004E3D43"/>
    <w:rsid w:val="004E4E24"/>
    <w:rsid w:val="004E4E27"/>
    <w:rsid w:val="004E6959"/>
    <w:rsid w:val="004E6B05"/>
    <w:rsid w:val="004E77DC"/>
    <w:rsid w:val="004E7B9E"/>
    <w:rsid w:val="004F140E"/>
    <w:rsid w:val="004F1F5F"/>
    <w:rsid w:val="004F217D"/>
    <w:rsid w:val="004F3225"/>
    <w:rsid w:val="004F3A20"/>
    <w:rsid w:val="004F466E"/>
    <w:rsid w:val="004F48CA"/>
    <w:rsid w:val="004F4E7F"/>
    <w:rsid w:val="004F5A32"/>
    <w:rsid w:val="004F5ADB"/>
    <w:rsid w:val="004F60B1"/>
    <w:rsid w:val="004F6CD7"/>
    <w:rsid w:val="004F6F6D"/>
    <w:rsid w:val="00500476"/>
    <w:rsid w:val="005006F3"/>
    <w:rsid w:val="0050078D"/>
    <w:rsid w:val="00501587"/>
    <w:rsid w:val="0050327B"/>
    <w:rsid w:val="005063B3"/>
    <w:rsid w:val="0050694D"/>
    <w:rsid w:val="00506B77"/>
    <w:rsid w:val="00507AA3"/>
    <w:rsid w:val="005102D5"/>
    <w:rsid w:val="00510895"/>
    <w:rsid w:val="0051133A"/>
    <w:rsid w:val="0051176D"/>
    <w:rsid w:val="00512086"/>
    <w:rsid w:val="0051213D"/>
    <w:rsid w:val="00512B48"/>
    <w:rsid w:val="00512ECA"/>
    <w:rsid w:val="005138D6"/>
    <w:rsid w:val="00513BB0"/>
    <w:rsid w:val="00514DF7"/>
    <w:rsid w:val="0051551E"/>
    <w:rsid w:val="0051671A"/>
    <w:rsid w:val="00516D6D"/>
    <w:rsid w:val="00516DBB"/>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B8A"/>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65E"/>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1F8B"/>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4A2"/>
    <w:rsid w:val="006167FE"/>
    <w:rsid w:val="00617428"/>
    <w:rsid w:val="00620368"/>
    <w:rsid w:val="00623201"/>
    <w:rsid w:val="00623989"/>
    <w:rsid w:val="00623F44"/>
    <w:rsid w:val="00624B1C"/>
    <w:rsid w:val="00625456"/>
    <w:rsid w:val="00626783"/>
    <w:rsid w:val="006271F5"/>
    <w:rsid w:val="0062732B"/>
    <w:rsid w:val="006273DB"/>
    <w:rsid w:val="006274F4"/>
    <w:rsid w:val="006278EE"/>
    <w:rsid w:val="006279ED"/>
    <w:rsid w:val="00627D4A"/>
    <w:rsid w:val="00630949"/>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D6F"/>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6A36"/>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974C3"/>
    <w:rsid w:val="006A05A5"/>
    <w:rsid w:val="006A0CBB"/>
    <w:rsid w:val="006A1353"/>
    <w:rsid w:val="006A2C54"/>
    <w:rsid w:val="006A3B3B"/>
    <w:rsid w:val="006A48AC"/>
    <w:rsid w:val="006A4A7F"/>
    <w:rsid w:val="006A6971"/>
    <w:rsid w:val="006A6E83"/>
    <w:rsid w:val="006A7230"/>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E6"/>
    <w:rsid w:val="006E1ECC"/>
    <w:rsid w:val="006E2B72"/>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D2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98E"/>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C3"/>
    <w:rsid w:val="0072566B"/>
    <w:rsid w:val="0072611D"/>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3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F3C"/>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3DF3"/>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63A3"/>
    <w:rsid w:val="007A734B"/>
    <w:rsid w:val="007A79FC"/>
    <w:rsid w:val="007A7DBF"/>
    <w:rsid w:val="007B1830"/>
    <w:rsid w:val="007B2B5C"/>
    <w:rsid w:val="007B2D31"/>
    <w:rsid w:val="007B2E0F"/>
    <w:rsid w:val="007B3A0B"/>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435"/>
    <w:rsid w:val="007F69BA"/>
    <w:rsid w:val="007F6DB8"/>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B02"/>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2530"/>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5567"/>
    <w:rsid w:val="00866398"/>
    <w:rsid w:val="00867271"/>
    <w:rsid w:val="008677E3"/>
    <w:rsid w:val="0087111E"/>
    <w:rsid w:val="00871403"/>
    <w:rsid w:val="008726A4"/>
    <w:rsid w:val="00873298"/>
    <w:rsid w:val="0087390B"/>
    <w:rsid w:val="00873941"/>
    <w:rsid w:val="00873959"/>
    <w:rsid w:val="00874380"/>
    <w:rsid w:val="00874595"/>
    <w:rsid w:val="00874AEC"/>
    <w:rsid w:val="00875752"/>
    <w:rsid w:val="00876EF6"/>
    <w:rsid w:val="00876F74"/>
    <w:rsid w:val="00880438"/>
    <w:rsid w:val="008804CD"/>
    <w:rsid w:val="008806E4"/>
    <w:rsid w:val="008809D5"/>
    <w:rsid w:val="00880DC8"/>
    <w:rsid w:val="00880E4F"/>
    <w:rsid w:val="00882774"/>
    <w:rsid w:val="0088483A"/>
    <w:rsid w:val="00884F3E"/>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AC1"/>
    <w:rsid w:val="008D17B4"/>
    <w:rsid w:val="008D22DD"/>
    <w:rsid w:val="008D2A0D"/>
    <w:rsid w:val="008D3C9C"/>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413"/>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4C5"/>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9E6"/>
    <w:rsid w:val="00926483"/>
    <w:rsid w:val="009267C0"/>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06C"/>
    <w:rsid w:val="00946CD9"/>
    <w:rsid w:val="00947140"/>
    <w:rsid w:val="009471B9"/>
    <w:rsid w:val="009479D2"/>
    <w:rsid w:val="00950212"/>
    <w:rsid w:val="00950F71"/>
    <w:rsid w:val="00950F82"/>
    <w:rsid w:val="00952AC1"/>
    <w:rsid w:val="0095434D"/>
    <w:rsid w:val="00955776"/>
    <w:rsid w:val="00955D24"/>
    <w:rsid w:val="00956077"/>
    <w:rsid w:val="009570DF"/>
    <w:rsid w:val="00957602"/>
    <w:rsid w:val="00957730"/>
    <w:rsid w:val="00957D2E"/>
    <w:rsid w:val="00957D57"/>
    <w:rsid w:val="0096056A"/>
    <w:rsid w:val="0096083B"/>
    <w:rsid w:val="00962B45"/>
    <w:rsid w:val="00962C11"/>
    <w:rsid w:val="00962CBD"/>
    <w:rsid w:val="00962EAE"/>
    <w:rsid w:val="00963F1B"/>
    <w:rsid w:val="009642CA"/>
    <w:rsid w:val="00964981"/>
    <w:rsid w:val="009673B5"/>
    <w:rsid w:val="00967702"/>
    <w:rsid w:val="00970A7C"/>
    <w:rsid w:val="00971527"/>
    <w:rsid w:val="009715AD"/>
    <w:rsid w:val="0097246A"/>
    <w:rsid w:val="00973033"/>
    <w:rsid w:val="0097319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3A05"/>
    <w:rsid w:val="009C42E6"/>
    <w:rsid w:val="009C5162"/>
    <w:rsid w:val="009C5659"/>
    <w:rsid w:val="009C56BE"/>
    <w:rsid w:val="009C5AD5"/>
    <w:rsid w:val="009C6971"/>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294"/>
    <w:rsid w:val="00A0177A"/>
    <w:rsid w:val="00A03E7F"/>
    <w:rsid w:val="00A04834"/>
    <w:rsid w:val="00A04F76"/>
    <w:rsid w:val="00A0571C"/>
    <w:rsid w:val="00A05D91"/>
    <w:rsid w:val="00A06EFF"/>
    <w:rsid w:val="00A07372"/>
    <w:rsid w:val="00A07F85"/>
    <w:rsid w:val="00A10035"/>
    <w:rsid w:val="00A10C10"/>
    <w:rsid w:val="00A11551"/>
    <w:rsid w:val="00A11575"/>
    <w:rsid w:val="00A115B5"/>
    <w:rsid w:val="00A117FF"/>
    <w:rsid w:val="00A11EAB"/>
    <w:rsid w:val="00A12522"/>
    <w:rsid w:val="00A125AC"/>
    <w:rsid w:val="00A128AA"/>
    <w:rsid w:val="00A132B9"/>
    <w:rsid w:val="00A133FA"/>
    <w:rsid w:val="00A13C02"/>
    <w:rsid w:val="00A13E0A"/>
    <w:rsid w:val="00A14D63"/>
    <w:rsid w:val="00A1525D"/>
    <w:rsid w:val="00A15587"/>
    <w:rsid w:val="00A16529"/>
    <w:rsid w:val="00A16BE8"/>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39A4"/>
    <w:rsid w:val="00A35A95"/>
    <w:rsid w:val="00A37130"/>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4C60"/>
    <w:rsid w:val="00A4521E"/>
    <w:rsid w:val="00A46724"/>
    <w:rsid w:val="00A46EC5"/>
    <w:rsid w:val="00A46FC2"/>
    <w:rsid w:val="00A50290"/>
    <w:rsid w:val="00A50A0C"/>
    <w:rsid w:val="00A51167"/>
    <w:rsid w:val="00A511AD"/>
    <w:rsid w:val="00A51830"/>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A7B2F"/>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CDA"/>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48D"/>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4872"/>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CDC"/>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60057"/>
    <w:rsid w:val="00B600AC"/>
    <w:rsid w:val="00B6015B"/>
    <w:rsid w:val="00B60A77"/>
    <w:rsid w:val="00B61E48"/>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634"/>
    <w:rsid w:val="00B91E94"/>
    <w:rsid w:val="00B91EB7"/>
    <w:rsid w:val="00B92059"/>
    <w:rsid w:val="00B92154"/>
    <w:rsid w:val="00B92331"/>
    <w:rsid w:val="00B92BAC"/>
    <w:rsid w:val="00B951DD"/>
    <w:rsid w:val="00B95988"/>
    <w:rsid w:val="00B96A54"/>
    <w:rsid w:val="00B96D6F"/>
    <w:rsid w:val="00B96DAC"/>
    <w:rsid w:val="00B971A8"/>
    <w:rsid w:val="00B97ADA"/>
    <w:rsid w:val="00B97B7E"/>
    <w:rsid w:val="00B97B91"/>
    <w:rsid w:val="00BA04CD"/>
    <w:rsid w:val="00BA07AB"/>
    <w:rsid w:val="00BA0861"/>
    <w:rsid w:val="00BA0F6E"/>
    <w:rsid w:val="00BA1979"/>
    <w:rsid w:val="00BA401A"/>
    <w:rsid w:val="00BA45C8"/>
    <w:rsid w:val="00BA4CAD"/>
    <w:rsid w:val="00BA4E4D"/>
    <w:rsid w:val="00BA5438"/>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5E60"/>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650"/>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E23"/>
    <w:rsid w:val="00C21FA8"/>
    <w:rsid w:val="00C222BD"/>
    <w:rsid w:val="00C22EF0"/>
    <w:rsid w:val="00C23A86"/>
    <w:rsid w:val="00C23DE0"/>
    <w:rsid w:val="00C25736"/>
    <w:rsid w:val="00C25BCD"/>
    <w:rsid w:val="00C2635E"/>
    <w:rsid w:val="00C27E8B"/>
    <w:rsid w:val="00C27F3B"/>
    <w:rsid w:val="00C30887"/>
    <w:rsid w:val="00C334FF"/>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5A"/>
    <w:rsid w:val="00C743E9"/>
    <w:rsid w:val="00C74CEB"/>
    <w:rsid w:val="00C80AD2"/>
    <w:rsid w:val="00C80B2B"/>
    <w:rsid w:val="00C832A5"/>
    <w:rsid w:val="00C83713"/>
    <w:rsid w:val="00C83AFF"/>
    <w:rsid w:val="00C83E3C"/>
    <w:rsid w:val="00C848D5"/>
    <w:rsid w:val="00C84E68"/>
    <w:rsid w:val="00C855FF"/>
    <w:rsid w:val="00C85706"/>
    <w:rsid w:val="00C8580C"/>
    <w:rsid w:val="00C85C2C"/>
    <w:rsid w:val="00C863EF"/>
    <w:rsid w:val="00C866E8"/>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0C5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99A"/>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2BDA"/>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35F98"/>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570FA"/>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3E22"/>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3CD2"/>
    <w:rsid w:val="00E05055"/>
    <w:rsid w:val="00E05A88"/>
    <w:rsid w:val="00E0620D"/>
    <w:rsid w:val="00E06408"/>
    <w:rsid w:val="00E069B3"/>
    <w:rsid w:val="00E06AED"/>
    <w:rsid w:val="00E06BC5"/>
    <w:rsid w:val="00E06DD6"/>
    <w:rsid w:val="00E076E5"/>
    <w:rsid w:val="00E07CD5"/>
    <w:rsid w:val="00E106BC"/>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4C69"/>
    <w:rsid w:val="00E357B6"/>
    <w:rsid w:val="00E35CD0"/>
    <w:rsid w:val="00E365AF"/>
    <w:rsid w:val="00E3685C"/>
    <w:rsid w:val="00E37075"/>
    <w:rsid w:val="00E3784B"/>
    <w:rsid w:val="00E4050B"/>
    <w:rsid w:val="00E4233B"/>
    <w:rsid w:val="00E42B9B"/>
    <w:rsid w:val="00E432C5"/>
    <w:rsid w:val="00E441A5"/>
    <w:rsid w:val="00E44659"/>
    <w:rsid w:val="00E44BEA"/>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C5B"/>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4EFB"/>
    <w:rsid w:val="00EA5639"/>
    <w:rsid w:val="00EA5C53"/>
    <w:rsid w:val="00EA6CB3"/>
    <w:rsid w:val="00EA6DCD"/>
    <w:rsid w:val="00EA7775"/>
    <w:rsid w:val="00EB0D8F"/>
    <w:rsid w:val="00EB2283"/>
    <w:rsid w:val="00EB23E7"/>
    <w:rsid w:val="00EB259E"/>
    <w:rsid w:val="00EB25D9"/>
    <w:rsid w:val="00EB33BA"/>
    <w:rsid w:val="00EB382A"/>
    <w:rsid w:val="00EB3BEE"/>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AF1"/>
    <w:rsid w:val="00EC5BD1"/>
    <w:rsid w:val="00ED08A7"/>
    <w:rsid w:val="00ED0A84"/>
    <w:rsid w:val="00ED0F49"/>
    <w:rsid w:val="00ED0FAC"/>
    <w:rsid w:val="00ED1A31"/>
    <w:rsid w:val="00ED221F"/>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6E64"/>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2391"/>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315"/>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595"/>
    <w:rsid w:val="00F7390F"/>
    <w:rsid w:val="00F7406D"/>
    <w:rsid w:val="00F741F9"/>
    <w:rsid w:val="00F74BD3"/>
    <w:rsid w:val="00F75B1A"/>
    <w:rsid w:val="00F803F5"/>
    <w:rsid w:val="00F80686"/>
    <w:rsid w:val="00F80712"/>
    <w:rsid w:val="00F8114D"/>
    <w:rsid w:val="00F8148D"/>
    <w:rsid w:val="00F83748"/>
    <w:rsid w:val="00F842F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69A"/>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5F90"/>
    <w:rsid w:val="00FA6571"/>
    <w:rsid w:val="00FA6A52"/>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5B5"/>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table" w:customStyle="1" w:styleId="TableGrid4">
    <w:name w:val="Table Grid4"/>
    <w:basedOn w:val="TableNormal"/>
    <w:next w:val="TableGrid"/>
    <w:rsid w:val="0085253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39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81009422">
      <w:bodyDiv w:val="1"/>
      <w:marLeft w:val="0"/>
      <w:marRight w:val="0"/>
      <w:marTop w:val="0"/>
      <w:marBottom w:val="0"/>
      <w:divBdr>
        <w:top w:val="none" w:sz="0" w:space="0" w:color="auto"/>
        <w:left w:val="none" w:sz="0" w:space="0" w:color="auto"/>
        <w:bottom w:val="none" w:sz="0" w:space="0" w:color="auto"/>
        <w:right w:val="none" w:sz="0" w:space="0" w:color="auto"/>
      </w:divBdr>
      <w:divsChild>
        <w:div w:id="1217664429">
          <w:marLeft w:val="0"/>
          <w:marRight w:val="0"/>
          <w:marTop w:val="0"/>
          <w:marBottom w:val="0"/>
          <w:divBdr>
            <w:top w:val="none" w:sz="0" w:space="0" w:color="auto"/>
            <w:left w:val="none" w:sz="0" w:space="0" w:color="auto"/>
            <w:bottom w:val="none" w:sz="0" w:space="0" w:color="auto"/>
            <w:right w:val="none" w:sz="0" w:space="0" w:color="auto"/>
          </w:divBdr>
          <w:divsChild>
            <w:div w:id="1516188204">
              <w:marLeft w:val="0"/>
              <w:marRight w:val="0"/>
              <w:marTop w:val="0"/>
              <w:marBottom w:val="0"/>
              <w:divBdr>
                <w:top w:val="none" w:sz="0" w:space="0" w:color="auto"/>
                <w:left w:val="none" w:sz="0" w:space="0" w:color="auto"/>
                <w:bottom w:val="none" w:sz="0" w:space="0" w:color="auto"/>
                <w:right w:val="none" w:sz="0" w:space="0" w:color="auto"/>
              </w:divBdr>
              <w:divsChild>
                <w:div w:id="164897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6901267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0371277">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6548496">
      <w:bodyDiv w:val="1"/>
      <w:marLeft w:val="0"/>
      <w:marRight w:val="0"/>
      <w:marTop w:val="0"/>
      <w:marBottom w:val="0"/>
      <w:divBdr>
        <w:top w:val="none" w:sz="0" w:space="0" w:color="auto"/>
        <w:left w:val="none" w:sz="0" w:space="0" w:color="auto"/>
        <w:bottom w:val="none" w:sz="0" w:space="0" w:color="auto"/>
        <w:right w:val="none" w:sz="0" w:space="0" w:color="auto"/>
      </w:divBdr>
      <w:divsChild>
        <w:div w:id="1303316679">
          <w:marLeft w:val="0"/>
          <w:marRight w:val="0"/>
          <w:marTop w:val="0"/>
          <w:marBottom w:val="0"/>
          <w:divBdr>
            <w:top w:val="none" w:sz="0" w:space="0" w:color="auto"/>
            <w:left w:val="none" w:sz="0" w:space="0" w:color="auto"/>
            <w:bottom w:val="none" w:sz="0" w:space="0" w:color="auto"/>
            <w:right w:val="none" w:sz="0" w:space="0" w:color="auto"/>
          </w:divBdr>
          <w:divsChild>
            <w:div w:id="49110695">
              <w:marLeft w:val="0"/>
              <w:marRight w:val="0"/>
              <w:marTop w:val="0"/>
              <w:marBottom w:val="0"/>
              <w:divBdr>
                <w:top w:val="none" w:sz="0" w:space="0" w:color="auto"/>
                <w:left w:val="none" w:sz="0" w:space="0" w:color="auto"/>
                <w:bottom w:val="none" w:sz="0" w:space="0" w:color="auto"/>
                <w:right w:val="none" w:sz="0" w:space="0" w:color="auto"/>
              </w:divBdr>
              <w:divsChild>
                <w:div w:id="2101098603">
                  <w:marLeft w:val="0"/>
                  <w:marRight w:val="0"/>
                  <w:marTop w:val="0"/>
                  <w:marBottom w:val="0"/>
                  <w:divBdr>
                    <w:top w:val="none" w:sz="0" w:space="0" w:color="auto"/>
                    <w:left w:val="none" w:sz="0" w:space="0" w:color="auto"/>
                    <w:bottom w:val="none" w:sz="0" w:space="0" w:color="auto"/>
                    <w:right w:val="none" w:sz="0" w:space="0" w:color="auto"/>
                  </w:divBdr>
                  <w:divsChild>
                    <w:div w:id="67930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59117712">
      <w:bodyDiv w:val="1"/>
      <w:marLeft w:val="0"/>
      <w:marRight w:val="0"/>
      <w:marTop w:val="0"/>
      <w:marBottom w:val="0"/>
      <w:divBdr>
        <w:top w:val="none" w:sz="0" w:space="0" w:color="auto"/>
        <w:left w:val="none" w:sz="0" w:space="0" w:color="auto"/>
        <w:bottom w:val="none" w:sz="0" w:space="0" w:color="auto"/>
        <w:right w:val="none" w:sz="0" w:space="0" w:color="auto"/>
      </w:divBdr>
      <w:divsChild>
        <w:div w:id="1442727706">
          <w:marLeft w:val="0"/>
          <w:marRight w:val="0"/>
          <w:marTop w:val="0"/>
          <w:marBottom w:val="0"/>
          <w:divBdr>
            <w:top w:val="none" w:sz="0" w:space="0" w:color="auto"/>
            <w:left w:val="none" w:sz="0" w:space="0" w:color="auto"/>
            <w:bottom w:val="none" w:sz="0" w:space="0" w:color="auto"/>
            <w:right w:val="none" w:sz="0" w:space="0" w:color="auto"/>
          </w:divBdr>
          <w:divsChild>
            <w:div w:id="1752120520">
              <w:marLeft w:val="0"/>
              <w:marRight w:val="0"/>
              <w:marTop w:val="0"/>
              <w:marBottom w:val="0"/>
              <w:divBdr>
                <w:top w:val="none" w:sz="0" w:space="0" w:color="auto"/>
                <w:left w:val="none" w:sz="0" w:space="0" w:color="auto"/>
                <w:bottom w:val="none" w:sz="0" w:space="0" w:color="auto"/>
                <w:right w:val="none" w:sz="0" w:space="0" w:color="auto"/>
              </w:divBdr>
              <w:divsChild>
                <w:div w:id="1370254099">
                  <w:marLeft w:val="0"/>
                  <w:marRight w:val="0"/>
                  <w:marTop w:val="0"/>
                  <w:marBottom w:val="0"/>
                  <w:divBdr>
                    <w:top w:val="none" w:sz="0" w:space="0" w:color="auto"/>
                    <w:left w:val="none" w:sz="0" w:space="0" w:color="auto"/>
                    <w:bottom w:val="none" w:sz="0" w:space="0" w:color="auto"/>
                    <w:right w:val="none" w:sz="0" w:space="0" w:color="auto"/>
                  </w:divBdr>
                  <w:divsChild>
                    <w:div w:id="199209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4007413">
      <w:bodyDiv w:val="1"/>
      <w:marLeft w:val="0"/>
      <w:marRight w:val="0"/>
      <w:marTop w:val="0"/>
      <w:marBottom w:val="0"/>
      <w:divBdr>
        <w:top w:val="none" w:sz="0" w:space="0" w:color="auto"/>
        <w:left w:val="none" w:sz="0" w:space="0" w:color="auto"/>
        <w:bottom w:val="none" w:sz="0" w:space="0" w:color="auto"/>
        <w:right w:val="none" w:sz="0" w:space="0" w:color="auto"/>
      </w:divBdr>
      <w:divsChild>
        <w:div w:id="1960529561">
          <w:marLeft w:val="0"/>
          <w:marRight w:val="0"/>
          <w:marTop w:val="0"/>
          <w:marBottom w:val="0"/>
          <w:divBdr>
            <w:top w:val="none" w:sz="0" w:space="0" w:color="auto"/>
            <w:left w:val="none" w:sz="0" w:space="0" w:color="auto"/>
            <w:bottom w:val="none" w:sz="0" w:space="0" w:color="auto"/>
            <w:right w:val="none" w:sz="0" w:space="0" w:color="auto"/>
          </w:divBdr>
          <w:divsChild>
            <w:div w:id="1918440095">
              <w:marLeft w:val="0"/>
              <w:marRight w:val="0"/>
              <w:marTop w:val="0"/>
              <w:marBottom w:val="0"/>
              <w:divBdr>
                <w:top w:val="none" w:sz="0" w:space="0" w:color="auto"/>
                <w:left w:val="none" w:sz="0" w:space="0" w:color="auto"/>
                <w:bottom w:val="none" w:sz="0" w:space="0" w:color="auto"/>
                <w:right w:val="none" w:sz="0" w:space="0" w:color="auto"/>
              </w:divBdr>
              <w:divsChild>
                <w:div w:id="32459384">
                  <w:marLeft w:val="0"/>
                  <w:marRight w:val="0"/>
                  <w:marTop w:val="0"/>
                  <w:marBottom w:val="0"/>
                  <w:divBdr>
                    <w:top w:val="none" w:sz="0" w:space="0" w:color="auto"/>
                    <w:left w:val="none" w:sz="0" w:space="0" w:color="auto"/>
                    <w:bottom w:val="none" w:sz="0" w:space="0" w:color="auto"/>
                    <w:right w:val="none" w:sz="0" w:space="0" w:color="auto"/>
                  </w:divBdr>
                  <w:divsChild>
                    <w:div w:id="81810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4</Pages>
  <Words>1387</Words>
  <Characters>7908</Characters>
  <Application>Microsoft Office Word</Application>
  <DocSecurity>0</DocSecurity>
  <Lines>65</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 [Apple]</cp:lastModifiedBy>
  <cp:revision>3</cp:revision>
  <cp:lastPrinted>2016-08-05T18:54:00Z</cp:lastPrinted>
  <dcterms:created xsi:type="dcterms:W3CDTF">2024-02-08T01:40:00Z</dcterms:created>
  <dcterms:modified xsi:type="dcterms:W3CDTF">2024-02-19T19:01:00Z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